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0658E120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6E56787A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1AC14565" w14:textId="77777777" w:rsidR="008972C3" w:rsidRDefault="008972C3" w:rsidP="003274DB"/>
    <w:p w14:paraId="038FF316" w14:textId="77777777" w:rsidR="00D74AE1" w:rsidRDefault="00D74AE1" w:rsidP="003274DB"/>
    <w:p w14:paraId="446D39BB" w14:textId="77777777" w:rsidR="0093492E" w:rsidRDefault="00D6577C" w:rsidP="0026038D">
      <w:pPr>
        <w:pStyle w:val="Documentnumber"/>
      </w:pPr>
      <w:commentRangeStart w:id="1"/>
      <w:r w:rsidRPr="00205774">
        <w:rPr>
          <w:highlight w:val="yellow"/>
          <w:rPrChange w:id="2" w:author="Tomren, Guttorm" w:date="2020-04-16T10:08:00Z">
            <w:rPr/>
          </w:rPrChange>
        </w:rPr>
        <w:t>1016</w:t>
      </w:r>
      <w:commentRangeEnd w:id="1"/>
      <w:r w:rsidR="00D22455">
        <w:rPr>
          <w:rStyle w:val="CommentReference"/>
          <w:caps w:val="0"/>
          <w:color w:val="auto"/>
        </w:rPr>
        <w:commentReference w:id="1"/>
      </w:r>
    </w:p>
    <w:p w14:paraId="0F98197A" w14:textId="77777777" w:rsidR="0026038D" w:rsidRDefault="0026038D" w:rsidP="003274DB"/>
    <w:p w14:paraId="59161A16" w14:textId="77777777"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 w:rsidR="00116242">
        <w:t>OF MOBILE</w:t>
      </w:r>
      <w:r w:rsidR="00C11200">
        <w:t xml:space="preserve"> </w:t>
      </w:r>
      <w:r>
        <w:t>A</w:t>
      </w:r>
      <w:r w:rsidR="007F2FC9">
        <w:t xml:space="preserve">ids to navigatioN </w:t>
      </w:r>
    </w:p>
    <w:p w14:paraId="3FF3A3BF" w14:textId="77777777" w:rsidR="00CF49CC" w:rsidRDefault="00CF49CC" w:rsidP="00D74AE1"/>
    <w:p w14:paraId="00DDA37E" w14:textId="77777777" w:rsidR="004E0BBB" w:rsidRDefault="004E0BBB" w:rsidP="00D74AE1"/>
    <w:p w14:paraId="51D5C8BA" w14:textId="77777777" w:rsidR="004E0BBB" w:rsidRDefault="004E0BBB" w:rsidP="00D74AE1"/>
    <w:p w14:paraId="11826B01" w14:textId="77777777" w:rsidR="004E0BBB" w:rsidRDefault="004E0BBB" w:rsidP="00D74AE1"/>
    <w:p w14:paraId="534FC5BA" w14:textId="77777777" w:rsidR="004E0BBB" w:rsidRDefault="004E0BBB" w:rsidP="00D74AE1"/>
    <w:p w14:paraId="36614B89" w14:textId="77777777" w:rsidR="004E0BBB" w:rsidRDefault="004E0BBB" w:rsidP="00D74AE1"/>
    <w:p w14:paraId="4D9B8DE0" w14:textId="77777777" w:rsidR="004E0BBB" w:rsidRDefault="004E0BBB" w:rsidP="00D74AE1"/>
    <w:p w14:paraId="639EB2AC" w14:textId="77777777" w:rsidR="004E0BBB" w:rsidRDefault="004E0BBB" w:rsidP="00D74AE1"/>
    <w:p w14:paraId="5A396AB1" w14:textId="77777777" w:rsidR="004E0BBB" w:rsidRDefault="004E0BBB" w:rsidP="00D74AE1"/>
    <w:p w14:paraId="67BEEBF4" w14:textId="77777777" w:rsidR="004E0BBB" w:rsidRDefault="004E0BBB" w:rsidP="00D74AE1"/>
    <w:p w14:paraId="226EDFCF" w14:textId="77777777" w:rsidR="004E0BBB" w:rsidRDefault="004E0BBB" w:rsidP="00D74AE1"/>
    <w:p w14:paraId="128CDED2" w14:textId="77777777" w:rsidR="004E0BBB" w:rsidRDefault="004E0BBB" w:rsidP="00D74AE1"/>
    <w:p w14:paraId="414CD0DE" w14:textId="77777777" w:rsidR="004E0BBB" w:rsidRDefault="004E0BBB" w:rsidP="00D74AE1"/>
    <w:p w14:paraId="3AF59F6D" w14:textId="77777777" w:rsidR="004E0BBB" w:rsidRDefault="004E0BBB" w:rsidP="00D74AE1"/>
    <w:p w14:paraId="7BF1FD13" w14:textId="77777777" w:rsidR="004E0BBB" w:rsidRDefault="004E0BBB" w:rsidP="00D74AE1"/>
    <w:p w14:paraId="0D86B200" w14:textId="77777777" w:rsidR="004E0BBB" w:rsidRDefault="004E0BBB" w:rsidP="00D74AE1"/>
    <w:p w14:paraId="0367534A" w14:textId="77777777" w:rsidR="004E0BBB" w:rsidRDefault="004E0BBB" w:rsidP="00D74AE1"/>
    <w:p w14:paraId="2DF2F495" w14:textId="77777777" w:rsidR="00734BC6" w:rsidRDefault="00734BC6" w:rsidP="00D74AE1"/>
    <w:p w14:paraId="5C9DC288" w14:textId="77777777" w:rsidR="004E0BBB" w:rsidRDefault="004E0BBB" w:rsidP="00D74AE1"/>
    <w:p w14:paraId="2B3CC369" w14:textId="77777777" w:rsidR="004E0BBB" w:rsidRDefault="004E0BBB" w:rsidP="00D74AE1"/>
    <w:p w14:paraId="55214B1D" w14:textId="77777777" w:rsidR="004E0BBB" w:rsidRDefault="004E0BBB" w:rsidP="00D74AE1"/>
    <w:p w14:paraId="794B8BAC" w14:textId="77777777" w:rsidR="004E0BBB" w:rsidRDefault="004E0BBB" w:rsidP="00D74AE1"/>
    <w:p w14:paraId="623A3427" w14:textId="77777777" w:rsidR="004E0BBB" w:rsidRDefault="004E0BBB" w:rsidP="00D74AE1"/>
    <w:p w14:paraId="6DEFA0F2" w14:textId="77777777" w:rsidR="004E0BBB" w:rsidRDefault="004E0BBB" w:rsidP="00D74AE1"/>
    <w:p w14:paraId="1CFE4985" w14:textId="77777777" w:rsidR="004E0BBB" w:rsidRDefault="004E0BBB" w:rsidP="00D74AE1"/>
    <w:p w14:paraId="6257327B" w14:textId="77777777" w:rsidR="004E0BBB" w:rsidRDefault="004E0BBB" w:rsidP="00D74AE1"/>
    <w:p w14:paraId="4638773E" w14:textId="77777777" w:rsidR="004E0BBB" w:rsidRDefault="004E0BBB" w:rsidP="004E0BBB">
      <w:pPr>
        <w:pStyle w:val="Editionnumber"/>
      </w:pPr>
      <w:r>
        <w:t>Edition 1.0</w:t>
      </w:r>
    </w:p>
    <w:p w14:paraId="7F436833" w14:textId="77777777" w:rsidR="004E0BBB" w:rsidRDefault="00600C2B" w:rsidP="004E0BBB">
      <w:pPr>
        <w:pStyle w:val="Documentdate"/>
      </w:pPr>
      <w:r>
        <w:lastRenderedPageBreak/>
        <w:t>Document date</w:t>
      </w:r>
    </w:p>
    <w:p w14:paraId="5E50DA78" w14:textId="77777777" w:rsidR="00BC27F6" w:rsidRDefault="00BC27F6" w:rsidP="00D74AE1">
      <w:pPr>
        <w:sectPr w:rsidR="00BC27F6" w:rsidSect="007E30D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5EDA0D93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7639E572" w14:textId="77777777" w:rsidTr="005E4659">
        <w:tc>
          <w:tcPr>
            <w:tcW w:w="1908" w:type="dxa"/>
          </w:tcPr>
          <w:p w14:paraId="6E47B464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4FE0410F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692CC978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167461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62432FD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55C4CF07" w14:textId="77777777" w:rsidR="00914E26" w:rsidRPr="00C27E08" w:rsidRDefault="006218E8" w:rsidP="00914E26">
            <w:pPr>
              <w:pStyle w:val="Tabletext"/>
            </w:pPr>
            <w:r>
              <w:t>aaaaa</w:t>
            </w:r>
          </w:p>
        </w:tc>
        <w:tc>
          <w:tcPr>
            <w:tcW w:w="5001" w:type="dxa"/>
            <w:vAlign w:val="center"/>
          </w:tcPr>
          <w:p w14:paraId="7A472571" w14:textId="77777777" w:rsidR="00914E26" w:rsidRPr="00460028" w:rsidRDefault="007D26E2" w:rsidP="00914E26">
            <w:pPr>
              <w:pStyle w:val="Tabletext"/>
            </w:pPr>
            <w:r>
              <w:t>aaaaaaa</w:t>
            </w:r>
          </w:p>
        </w:tc>
      </w:tr>
      <w:tr w:rsidR="005E4659" w:rsidRPr="00460028" w14:paraId="760AD0D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9CB6D4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C2C9B0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44520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32F98E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7FBD30E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2DC840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0C2908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E4734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408EA0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506AC7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C1230BC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860DE6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727B34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9166D8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C73FA9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35B3AC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740D8C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DC92F7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A2E0AA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0256CD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EBA2D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3D1E55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6575A06" w14:textId="77777777" w:rsidR="00914E26" w:rsidRPr="00460028" w:rsidRDefault="00914E26" w:rsidP="00914E26">
            <w:pPr>
              <w:pStyle w:val="Tabletext"/>
            </w:pPr>
          </w:p>
        </w:tc>
      </w:tr>
    </w:tbl>
    <w:p w14:paraId="36CDA46A" w14:textId="77777777" w:rsidR="00914E26" w:rsidRDefault="00914E26" w:rsidP="00D74AE1"/>
    <w:p w14:paraId="2E440AE0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20"/>
          <w:footerReference w:type="default" r:id="rId2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361F085" w14:textId="77777777" w:rsidR="00F8616A" w:rsidRDefault="007F7361">
      <w:pPr>
        <w:pStyle w:val="TOC1"/>
        <w:rPr>
          <w:rFonts w:eastAsiaTheme="minorEastAsia"/>
          <w:b w:val="0"/>
          <w:color w:val="auto"/>
          <w:lang w:eastAsia="en-GB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F8616A" w:rsidRPr="009D08E0">
        <w:t>1.</w:t>
      </w:r>
      <w:r w:rsidR="00F8616A">
        <w:rPr>
          <w:rFonts w:eastAsiaTheme="minorEastAsia"/>
          <w:b w:val="0"/>
          <w:color w:val="auto"/>
          <w:lang w:eastAsia="en-GB"/>
        </w:rPr>
        <w:tab/>
      </w:r>
      <w:r w:rsidR="00F8616A">
        <w:t>INTRODUCTION</w:t>
      </w:r>
      <w:r w:rsidR="00F8616A">
        <w:tab/>
      </w:r>
      <w:r w:rsidR="00F8616A">
        <w:fldChar w:fldCharType="begin"/>
      </w:r>
      <w:r w:rsidR="00F8616A">
        <w:instrText xml:space="preserve"> PAGEREF _Toc36129788 \h </w:instrText>
      </w:r>
      <w:r w:rsidR="00F8616A">
        <w:fldChar w:fldCharType="separate"/>
      </w:r>
      <w:r w:rsidR="00F8616A">
        <w:t>5</w:t>
      </w:r>
      <w:r w:rsidR="00F8616A">
        <w:fldChar w:fldCharType="end"/>
      </w:r>
    </w:p>
    <w:p w14:paraId="5F54DA2F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rPr>
          <w:lang w:eastAsia="de-DE"/>
        </w:rPr>
        <w:t>2.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rPr>
          <w:lang w:eastAsia="de-DE"/>
        </w:rPr>
        <w:t>SCOPE</w:t>
      </w:r>
      <w:r>
        <w:tab/>
      </w:r>
      <w:r>
        <w:fldChar w:fldCharType="begin"/>
      </w:r>
      <w:r>
        <w:instrText xml:space="preserve"> PAGEREF _Toc36129789 \h </w:instrText>
      </w:r>
      <w:r>
        <w:fldChar w:fldCharType="separate"/>
      </w:r>
      <w:r>
        <w:t>5</w:t>
      </w:r>
      <w:r>
        <w:fldChar w:fldCharType="end"/>
      </w:r>
    </w:p>
    <w:p w14:paraId="55431BEF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3.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DEFINITION</w:t>
      </w:r>
      <w:r>
        <w:tab/>
      </w:r>
      <w:r>
        <w:fldChar w:fldCharType="begin"/>
      </w:r>
      <w:r>
        <w:instrText xml:space="preserve"> PAGEREF _Toc36129790 \h </w:instrText>
      </w:r>
      <w:r>
        <w:fldChar w:fldCharType="separate"/>
      </w:r>
      <w:r>
        <w:t>5</w:t>
      </w:r>
      <w:r>
        <w:fldChar w:fldCharType="end"/>
      </w:r>
    </w:p>
    <w:p w14:paraId="0A937805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4.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TYPICAL USES</w:t>
      </w:r>
      <w:r>
        <w:tab/>
      </w:r>
      <w:r>
        <w:fldChar w:fldCharType="begin"/>
      </w:r>
      <w:r>
        <w:instrText xml:space="preserve"> PAGEREF _Toc36129791 \h </w:instrText>
      </w:r>
      <w:r>
        <w:fldChar w:fldCharType="separate"/>
      </w:r>
      <w:r>
        <w:t>5</w:t>
      </w:r>
      <w:r>
        <w:fldChar w:fldCharType="end"/>
      </w:r>
    </w:p>
    <w:p w14:paraId="56700346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5.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TYPES OF MOBILE ATON</w:t>
      </w:r>
      <w:r>
        <w:tab/>
      </w:r>
      <w:r>
        <w:fldChar w:fldCharType="begin"/>
      </w:r>
      <w:r>
        <w:instrText xml:space="preserve"> PAGEREF _Toc36129792 \h </w:instrText>
      </w:r>
      <w:r>
        <w:fldChar w:fldCharType="separate"/>
      </w:r>
      <w:r>
        <w:t>6</w:t>
      </w:r>
      <w:r>
        <w:fldChar w:fldCharType="end"/>
      </w:r>
    </w:p>
    <w:p w14:paraId="223A7BC2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5.1.</w:t>
      </w:r>
      <w:r>
        <w:rPr>
          <w:rFonts w:eastAsiaTheme="minorEastAsia"/>
          <w:color w:val="auto"/>
          <w:lang w:eastAsia="en-GB"/>
        </w:rPr>
        <w:tab/>
      </w:r>
      <w:r>
        <w:t>Physical MAtoN</w:t>
      </w:r>
      <w:r>
        <w:tab/>
      </w:r>
      <w:r>
        <w:fldChar w:fldCharType="begin"/>
      </w:r>
      <w:r>
        <w:instrText xml:space="preserve"> PAGEREF _Toc36129793 \h </w:instrText>
      </w:r>
      <w:r>
        <w:fldChar w:fldCharType="separate"/>
      </w:r>
      <w:r>
        <w:t>6</w:t>
      </w:r>
      <w:r>
        <w:fldChar w:fldCharType="end"/>
      </w:r>
    </w:p>
    <w:p w14:paraId="38AA8776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5.2.</w:t>
      </w:r>
      <w:r>
        <w:rPr>
          <w:rFonts w:eastAsiaTheme="minorEastAsia"/>
          <w:color w:val="auto"/>
          <w:lang w:eastAsia="en-GB"/>
        </w:rPr>
        <w:tab/>
      </w:r>
      <w:r>
        <w:t>Virtual MAtoN</w:t>
      </w:r>
      <w:r>
        <w:tab/>
      </w:r>
      <w:r>
        <w:fldChar w:fldCharType="begin"/>
      </w:r>
      <w:r>
        <w:instrText xml:space="preserve"> PAGEREF _Toc36129794 \h </w:instrText>
      </w:r>
      <w:r>
        <w:fldChar w:fldCharType="separate"/>
      </w:r>
      <w:r>
        <w:t>6</w:t>
      </w:r>
      <w:r>
        <w:fldChar w:fldCharType="end"/>
      </w:r>
    </w:p>
    <w:p w14:paraId="011B8660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5.3.</w:t>
      </w:r>
      <w:r>
        <w:rPr>
          <w:rFonts w:eastAsiaTheme="minorEastAsia"/>
          <w:color w:val="auto"/>
          <w:lang w:eastAsia="en-GB"/>
        </w:rPr>
        <w:tab/>
      </w:r>
      <w:r>
        <w:t>Programming AIS MAtoN</w:t>
      </w:r>
      <w:r>
        <w:tab/>
      </w:r>
      <w:r>
        <w:fldChar w:fldCharType="begin"/>
      </w:r>
      <w:r>
        <w:instrText xml:space="preserve"> PAGEREF _Toc36129795 \h </w:instrText>
      </w:r>
      <w:r>
        <w:fldChar w:fldCharType="separate"/>
      </w:r>
      <w:r>
        <w:t>7</w:t>
      </w:r>
      <w:r>
        <w:fldChar w:fldCharType="end"/>
      </w:r>
    </w:p>
    <w:p w14:paraId="17FEAF73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rPr>
          <w:rFonts w:eastAsia="Times New Roman" w:cs="Arial"/>
          <w:lang w:val="en-IE"/>
        </w:rPr>
        <w:t>6.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rPr>
          <w:rFonts w:eastAsia="Times New Roman" w:cs="Arial"/>
          <w:lang w:val="en-IE"/>
        </w:rPr>
        <w:t>DEPLOYMENT</w:t>
      </w:r>
      <w:r>
        <w:tab/>
      </w:r>
      <w:r>
        <w:fldChar w:fldCharType="begin"/>
      </w:r>
      <w:r>
        <w:instrText xml:space="preserve"> PAGEREF _Toc36129796 \h </w:instrText>
      </w:r>
      <w:r>
        <w:fldChar w:fldCharType="separate"/>
      </w:r>
      <w:r>
        <w:t>7</w:t>
      </w:r>
      <w:r>
        <w:fldChar w:fldCharType="end"/>
      </w:r>
    </w:p>
    <w:p w14:paraId="209D8674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6.1.</w:t>
      </w:r>
      <w:r>
        <w:rPr>
          <w:rFonts w:eastAsiaTheme="minorEastAsia"/>
          <w:color w:val="auto"/>
          <w:lang w:eastAsia="en-GB"/>
        </w:rPr>
        <w:tab/>
      </w:r>
      <w:r>
        <w:t>Physical MAtoN</w:t>
      </w:r>
      <w:r>
        <w:tab/>
      </w:r>
      <w:r>
        <w:fldChar w:fldCharType="begin"/>
      </w:r>
      <w:r>
        <w:instrText xml:space="preserve"> PAGEREF _Toc36129797 \h </w:instrText>
      </w:r>
      <w:r>
        <w:fldChar w:fldCharType="separate"/>
      </w:r>
      <w:r>
        <w:t>7</w:t>
      </w:r>
      <w:r>
        <w:fldChar w:fldCharType="end"/>
      </w:r>
    </w:p>
    <w:p w14:paraId="563BCD8B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6.2.</w:t>
      </w:r>
      <w:r>
        <w:rPr>
          <w:rFonts w:eastAsiaTheme="minorEastAsia"/>
          <w:color w:val="auto"/>
          <w:lang w:eastAsia="en-GB"/>
        </w:rPr>
        <w:tab/>
      </w:r>
      <w:r>
        <w:t>Virtual MAtoN</w:t>
      </w:r>
      <w:r>
        <w:tab/>
      </w:r>
      <w:r>
        <w:fldChar w:fldCharType="begin"/>
      </w:r>
      <w:r>
        <w:instrText xml:space="preserve"> PAGEREF _Toc36129798 \h </w:instrText>
      </w:r>
      <w:r>
        <w:fldChar w:fldCharType="separate"/>
      </w:r>
      <w:r>
        <w:t>7</w:t>
      </w:r>
      <w:r>
        <w:fldChar w:fldCharType="end"/>
      </w:r>
    </w:p>
    <w:p w14:paraId="4F4934EF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6.3.</w:t>
      </w:r>
      <w:r>
        <w:rPr>
          <w:rFonts w:eastAsiaTheme="minorEastAsia"/>
          <w:color w:val="auto"/>
          <w:lang w:eastAsia="en-GB"/>
        </w:rPr>
        <w:tab/>
      </w:r>
      <w:r>
        <w:t>Promulgation</w:t>
      </w:r>
      <w:r>
        <w:tab/>
      </w:r>
      <w:r>
        <w:fldChar w:fldCharType="begin"/>
      </w:r>
      <w:r>
        <w:instrText xml:space="preserve"> PAGEREF _Toc36129799 \h </w:instrText>
      </w:r>
      <w:r>
        <w:fldChar w:fldCharType="separate"/>
      </w:r>
      <w:r>
        <w:t>7</w:t>
      </w:r>
      <w:r>
        <w:fldChar w:fldCharType="end"/>
      </w:r>
    </w:p>
    <w:p w14:paraId="4680987B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rPr>
          <w:lang w:eastAsia="de-DE"/>
        </w:rPr>
        <w:t>6.4.</w:t>
      </w:r>
      <w:r>
        <w:rPr>
          <w:rFonts w:eastAsiaTheme="minorEastAsia"/>
          <w:color w:val="auto"/>
          <w:lang w:eastAsia="en-GB"/>
        </w:rPr>
        <w:tab/>
      </w:r>
      <w:r>
        <w:rPr>
          <w:lang w:eastAsia="de-DE"/>
        </w:rPr>
        <w:t>Promulgation By VTS</w:t>
      </w:r>
      <w:r>
        <w:tab/>
      </w:r>
      <w:r>
        <w:fldChar w:fldCharType="begin"/>
      </w:r>
      <w:r>
        <w:instrText xml:space="preserve"> PAGEREF _Toc36129800 \h </w:instrText>
      </w:r>
      <w:r>
        <w:fldChar w:fldCharType="separate"/>
      </w:r>
      <w:r>
        <w:t>8</w:t>
      </w:r>
      <w:r>
        <w:fldChar w:fldCharType="end"/>
      </w:r>
    </w:p>
    <w:p w14:paraId="4E66707D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7.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MONITORING AND REPORTING</w:t>
      </w:r>
      <w:r>
        <w:tab/>
      </w:r>
      <w:r>
        <w:fldChar w:fldCharType="begin"/>
      </w:r>
      <w:r>
        <w:instrText xml:space="preserve"> PAGEREF _Toc36129801 \h </w:instrText>
      </w:r>
      <w:r>
        <w:fldChar w:fldCharType="separate"/>
      </w:r>
      <w:r>
        <w:t>8</w:t>
      </w:r>
      <w:r>
        <w:fldChar w:fldCharType="end"/>
      </w:r>
    </w:p>
    <w:p w14:paraId="4AF64207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7.1.</w:t>
      </w:r>
      <w:r>
        <w:rPr>
          <w:rFonts w:eastAsiaTheme="minorEastAsia"/>
          <w:color w:val="auto"/>
          <w:lang w:eastAsia="en-GB"/>
        </w:rPr>
        <w:tab/>
      </w:r>
      <w:r>
        <w:t>Monitoring</w:t>
      </w:r>
      <w:r>
        <w:tab/>
      </w:r>
      <w:r>
        <w:fldChar w:fldCharType="begin"/>
      </w:r>
      <w:r>
        <w:instrText xml:space="preserve"> PAGEREF _Toc36129802 \h </w:instrText>
      </w:r>
      <w:r>
        <w:fldChar w:fldCharType="separate"/>
      </w:r>
      <w:r>
        <w:t>8</w:t>
      </w:r>
      <w:r>
        <w:fldChar w:fldCharType="end"/>
      </w:r>
    </w:p>
    <w:p w14:paraId="644FDF7B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7.2.</w:t>
      </w:r>
      <w:r>
        <w:rPr>
          <w:rFonts w:eastAsiaTheme="minorEastAsia"/>
          <w:color w:val="auto"/>
          <w:lang w:eastAsia="en-GB"/>
        </w:rPr>
        <w:tab/>
      </w:r>
      <w:r>
        <w:t>Reporting</w:t>
      </w:r>
      <w:r>
        <w:tab/>
      </w:r>
      <w:r>
        <w:fldChar w:fldCharType="begin"/>
      </w:r>
      <w:r>
        <w:instrText xml:space="preserve"> PAGEREF _Toc36129803 \h </w:instrText>
      </w:r>
      <w:r>
        <w:fldChar w:fldCharType="separate"/>
      </w:r>
      <w:r>
        <w:t>8</w:t>
      </w:r>
      <w:r>
        <w:fldChar w:fldCharType="end"/>
      </w:r>
    </w:p>
    <w:p w14:paraId="673D62D3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8.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DISCONTINUATION OF MATON</w:t>
      </w:r>
      <w:r>
        <w:tab/>
      </w:r>
      <w:r>
        <w:fldChar w:fldCharType="begin"/>
      </w:r>
      <w:r>
        <w:instrText xml:space="preserve"> PAGEREF _Toc36129804 \h </w:instrText>
      </w:r>
      <w:r>
        <w:fldChar w:fldCharType="separate"/>
      </w:r>
      <w:r>
        <w:t>9</w:t>
      </w:r>
      <w:r>
        <w:fldChar w:fldCharType="end"/>
      </w:r>
    </w:p>
    <w:p w14:paraId="39051D22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9.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RESPONSIBILITIES</w:t>
      </w:r>
      <w:r>
        <w:tab/>
      </w:r>
      <w:r>
        <w:fldChar w:fldCharType="begin"/>
      </w:r>
      <w:r>
        <w:instrText xml:space="preserve"> PAGEREF _Toc36129805 \h </w:instrText>
      </w:r>
      <w:r>
        <w:fldChar w:fldCharType="separate"/>
      </w:r>
      <w:r>
        <w:t>9</w:t>
      </w:r>
      <w:r>
        <w:fldChar w:fldCharType="end"/>
      </w:r>
    </w:p>
    <w:p w14:paraId="143B6B16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9.1.</w:t>
      </w:r>
      <w:r>
        <w:rPr>
          <w:rFonts w:eastAsiaTheme="minorEastAsia"/>
          <w:color w:val="auto"/>
          <w:lang w:eastAsia="en-GB"/>
        </w:rPr>
        <w:tab/>
      </w:r>
      <w:r>
        <w:t>Designated Responsibility</w:t>
      </w:r>
      <w:r>
        <w:tab/>
      </w:r>
      <w:r>
        <w:fldChar w:fldCharType="begin"/>
      </w:r>
      <w:r>
        <w:instrText xml:space="preserve"> PAGEREF _Toc36129806 \h </w:instrText>
      </w:r>
      <w:r>
        <w:fldChar w:fldCharType="separate"/>
      </w:r>
      <w:r>
        <w:t>9</w:t>
      </w:r>
      <w:r>
        <w:fldChar w:fldCharType="end"/>
      </w:r>
    </w:p>
    <w:p w14:paraId="4687D447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9.2.</w:t>
      </w:r>
      <w:r>
        <w:rPr>
          <w:rFonts w:eastAsiaTheme="minorEastAsia"/>
          <w:color w:val="auto"/>
          <w:lang w:eastAsia="en-GB"/>
        </w:rPr>
        <w:tab/>
      </w:r>
      <w:r>
        <w:t>Inability to Monitor</w:t>
      </w:r>
      <w:r>
        <w:tab/>
      </w:r>
      <w:r>
        <w:fldChar w:fldCharType="begin"/>
      </w:r>
      <w:r>
        <w:instrText xml:space="preserve"> PAGEREF _Toc36129807 \h </w:instrText>
      </w:r>
      <w:r>
        <w:fldChar w:fldCharType="separate"/>
      </w:r>
      <w:r>
        <w:t>9</w:t>
      </w:r>
      <w:r>
        <w:fldChar w:fldCharType="end"/>
      </w:r>
    </w:p>
    <w:p w14:paraId="63E784DA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9.3.</w:t>
      </w:r>
      <w:r>
        <w:rPr>
          <w:rFonts w:eastAsiaTheme="minorEastAsia"/>
          <w:color w:val="auto"/>
          <w:lang w:eastAsia="en-GB"/>
        </w:rPr>
        <w:tab/>
      </w:r>
      <w:r>
        <w:t>Cost of Marking Mobile Hazards</w:t>
      </w:r>
      <w:r>
        <w:tab/>
      </w:r>
      <w:r>
        <w:fldChar w:fldCharType="begin"/>
      </w:r>
      <w:r>
        <w:instrText xml:space="preserve"> PAGEREF _Toc36129808 \h </w:instrText>
      </w:r>
      <w:r>
        <w:fldChar w:fldCharType="separate"/>
      </w:r>
      <w:r>
        <w:t>9</w:t>
      </w:r>
      <w:r>
        <w:fldChar w:fldCharType="end"/>
      </w:r>
    </w:p>
    <w:p w14:paraId="43E08FF6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10.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REFERENCES</w:t>
      </w:r>
      <w:r>
        <w:tab/>
      </w:r>
      <w:r>
        <w:fldChar w:fldCharType="begin"/>
      </w:r>
      <w:r>
        <w:instrText xml:space="preserve"> PAGEREF _Toc36129809 \h </w:instrText>
      </w:r>
      <w:r>
        <w:fldChar w:fldCharType="separate"/>
      </w:r>
      <w:r>
        <w:t>10</w:t>
      </w:r>
      <w:r>
        <w:fldChar w:fldCharType="end"/>
      </w:r>
    </w:p>
    <w:p w14:paraId="18FFB85F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11.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ACRONYMS</w:t>
      </w:r>
      <w:r>
        <w:tab/>
      </w:r>
      <w:r>
        <w:fldChar w:fldCharType="begin"/>
      </w:r>
      <w:r>
        <w:instrText xml:space="preserve"> PAGEREF _Toc36129810 \h </w:instrText>
      </w:r>
      <w:r>
        <w:fldChar w:fldCharType="separate"/>
      </w:r>
      <w:r>
        <w:t>10</w:t>
      </w:r>
      <w:r>
        <w:fldChar w:fldCharType="end"/>
      </w:r>
    </w:p>
    <w:p w14:paraId="2550CC7C" w14:textId="77777777"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14:paraId="27C17ED3" w14:textId="77777777" w:rsidR="00B07717" w:rsidRPr="00161325" w:rsidRDefault="00B07717" w:rsidP="00FA5291"/>
    <w:p w14:paraId="6B57A6D9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22"/>
          <w:headerReference w:type="first" r:id="rId23"/>
          <w:footerReference w:type="first" r:id="rId24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1CA8B511" w14:textId="77777777" w:rsidR="004944C8" w:rsidRDefault="00ED4450" w:rsidP="00DE2814">
      <w:pPr>
        <w:pStyle w:val="Heading1"/>
      </w:pPr>
      <w:bookmarkStart w:id="8" w:name="_Toc36129788"/>
      <w:r>
        <w:lastRenderedPageBreak/>
        <w:t>INTRODUCTION</w:t>
      </w:r>
      <w:bookmarkEnd w:id="8"/>
    </w:p>
    <w:p w14:paraId="0F3705C0" w14:textId="77777777" w:rsidR="004944C8" w:rsidRDefault="004944C8" w:rsidP="004944C8">
      <w:pPr>
        <w:pStyle w:val="Heading1separatationline"/>
      </w:pPr>
    </w:p>
    <w:p w14:paraId="4CE44F8C" w14:textId="77777777" w:rsidR="005464C7" w:rsidRDefault="00A6454A" w:rsidP="00FA5291">
      <w:pPr>
        <w:pStyle w:val="BodyText"/>
        <w:rPr>
          <w:lang w:eastAsia="de-DE"/>
        </w:rPr>
      </w:pPr>
      <w:r>
        <w:rPr>
          <w:lang w:eastAsia="de-DE"/>
        </w:rPr>
        <w:t>IALA recognise</w:t>
      </w:r>
      <w:r w:rsidR="005464C7">
        <w:rPr>
          <w:lang w:eastAsia="de-DE"/>
        </w:rPr>
        <w:t>s</w:t>
      </w:r>
      <w:r>
        <w:rPr>
          <w:lang w:eastAsia="de-DE"/>
        </w:rPr>
        <w:t xml:space="preserve"> the </w:t>
      </w:r>
      <w:r w:rsidRPr="002307A7">
        <w:rPr>
          <w:lang w:eastAsia="de-DE"/>
        </w:rPr>
        <w:t>necessit</w:t>
      </w:r>
      <w:r w:rsidRPr="0019610A">
        <w:rPr>
          <w:lang w:eastAsia="de-DE"/>
        </w:rPr>
        <w:t>y</w:t>
      </w:r>
      <w:r>
        <w:rPr>
          <w:lang w:eastAsia="de-DE"/>
        </w:rPr>
        <w:t xml:space="preserve"> to mark moving hazards to navigation</w:t>
      </w:r>
      <w:r w:rsidR="00E7786B">
        <w:rPr>
          <w:lang w:eastAsia="de-DE"/>
        </w:rPr>
        <w:t>,</w:t>
      </w:r>
      <w:r>
        <w:rPr>
          <w:lang w:eastAsia="de-DE"/>
        </w:rPr>
        <w:t xml:space="preserve"> and ha</w:t>
      </w:r>
      <w:r w:rsidR="005464C7">
        <w:rPr>
          <w:lang w:eastAsia="de-DE"/>
        </w:rPr>
        <w:t>s</w:t>
      </w:r>
      <w:r>
        <w:rPr>
          <w:lang w:eastAsia="de-DE"/>
        </w:rPr>
        <w:t xml:space="preserve"> developed these guidelines to aid</w:t>
      </w:r>
      <w:r w:rsidR="005464C7">
        <w:rPr>
          <w:lang w:eastAsia="de-DE"/>
        </w:rPr>
        <w:t xml:space="preserve"> its </w:t>
      </w:r>
      <w:r>
        <w:rPr>
          <w:lang w:eastAsia="de-DE"/>
        </w:rPr>
        <w:t xml:space="preserve">members and other </w:t>
      </w:r>
      <w:r w:rsidR="00006B77">
        <w:rPr>
          <w:lang w:eastAsia="de-DE"/>
        </w:rPr>
        <w:t>C</w:t>
      </w:r>
      <w:r>
        <w:rPr>
          <w:lang w:eastAsia="de-DE"/>
        </w:rPr>
        <w:t xml:space="preserve">ompetent </w:t>
      </w:r>
      <w:r w:rsidR="00006B77">
        <w:rPr>
          <w:lang w:eastAsia="de-DE"/>
        </w:rPr>
        <w:t>A</w:t>
      </w:r>
      <w:r>
        <w:rPr>
          <w:lang w:eastAsia="de-DE"/>
        </w:rPr>
        <w:t xml:space="preserve">uthorities when </w:t>
      </w:r>
      <w:r w:rsidR="007F2FC9">
        <w:rPr>
          <w:lang w:eastAsia="de-DE"/>
        </w:rPr>
        <w:t xml:space="preserve">they consider </w:t>
      </w:r>
      <w:r>
        <w:rPr>
          <w:lang w:eastAsia="de-DE"/>
        </w:rPr>
        <w:t>the use of Mobile Aids to Navigation (MAtoN</w:t>
      </w:r>
      <w:r w:rsidRPr="002307A7">
        <w:rPr>
          <w:lang w:eastAsia="de-DE"/>
        </w:rPr>
        <w:t>)</w:t>
      </w:r>
      <w:r w:rsidR="00126224" w:rsidRPr="002C5776">
        <w:rPr>
          <w:lang w:eastAsia="de-DE"/>
        </w:rPr>
        <w:t xml:space="preserve"> </w:t>
      </w:r>
      <w:r w:rsidR="007F2FC9">
        <w:rPr>
          <w:lang w:eastAsia="de-DE"/>
        </w:rPr>
        <w:t xml:space="preserve">to </w:t>
      </w:r>
      <w:r w:rsidR="00126224" w:rsidRPr="002C5776">
        <w:rPr>
          <w:lang w:eastAsia="de-DE"/>
        </w:rPr>
        <w:t xml:space="preserve">mark a </w:t>
      </w:r>
      <w:commentRangeStart w:id="9"/>
      <w:commentRangeStart w:id="10"/>
      <w:r w:rsidR="00126224" w:rsidRPr="002C5776">
        <w:rPr>
          <w:lang w:eastAsia="de-DE"/>
        </w:rPr>
        <w:t xml:space="preserve">moving or drifting hazard </w:t>
      </w:r>
      <w:commentRangeEnd w:id="9"/>
      <w:r w:rsidR="00BE2103">
        <w:rPr>
          <w:rStyle w:val="CommentReference"/>
        </w:rPr>
        <w:commentReference w:id="9"/>
      </w:r>
      <w:r w:rsidR="00126224" w:rsidRPr="002C5776">
        <w:rPr>
          <w:lang w:eastAsia="de-DE"/>
        </w:rPr>
        <w:t>to navigation</w:t>
      </w:r>
      <w:commentRangeEnd w:id="10"/>
      <w:r w:rsidR="00845B30">
        <w:rPr>
          <w:rStyle w:val="CommentReference"/>
        </w:rPr>
        <w:commentReference w:id="10"/>
      </w:r>
      <w:r w:rsidR="005464C7" w:rsidRPr="002307A7">
        <w:rPr>
          <w:lang w:eastAsia="de-DE"/>
        </w:rPr>
        <w:t>.</w:t>
      </w:r>
      <w:r w:rsidR="005464C7">
        <w:rPr>
          <w:lang w:eastAsia="de-DE"/>
        </w:rPr>
        <w:t xml:space="preserve">  </w:t>
      </w:r>
    </w:p>
    <w:p w14:paraId="00983D22" w14:textId="77777777" w:rsidR="005464C7" w:rsidRDefault="00A6454A" w:rsidP="00FA5291">
      <w:pPr>
        <w:pStyle w:val="BodyText"/>
        <w:rPr>
          <w:lang w:eastAsia="de-DE"/>
        </w:rPr>
      </w:pPr>
      <w:r>
        <w:rPr>
          <w:lang w:eastAsia="de-DE"/>
        </w:rPr>
        <w:t xml:space="preserve">Consideration has been given to requirements </w:t>
      </w:r>
      <w:r w:rsidR="005464C7">
        <w:rPr>
          <w:lang w:eastAsia="de-DE"/>
        </w:rPr>
        <w:t xml:space="preserve">of </w:t>
      </w:r>
      <w:r w:rsidR="00787C8A">
        <w:rPr>
          <w:lang w:eastAsia="de-DE"/>
        </w:rPr>
        <w:t>t</w:t>
      </w:r>
      <w:r w:rsidR="00787C8A" w:rsidRPr="00787C8A">
        <w:rPr>
          <w:lang w:eastAsia="de-DE"/>
        </w:rPr>
        <w:t xml:space="preserve">he Nairobi International Convention on the Removal of Wrecks </w:t>
      </w:r>
      <w:r w:rsidR="00F74023">
        <w:rPr>
          <w:lang w:eastAsia="de-DE"/>
        </w:rPr>
        <w:t>of 2007</w:t>
      </w:r>
      <w:r>
        <w:rPr>
          <w:lang w:eastAsia="de-DE"/>
        </w:rPr>
        <w:t>, C</w:t>
      </w:r>
      <w:r w:rsidR="00E4153D">
        <w:rPr>
          <w:lang w:eastAsia="de-DE"/>
        </w:rPr>
        <w:t>OLREG</w:t>
      </w:r>
      <w:r w:rsidR="005A4ACD">
        <w:rPr>
          <w:lang w:eastAsia="de-DE"/>
        </w:rPr>
        <w:t>s</w:t>
      </w:r>
      <w:r w:rsidR="007F2FC9">
        <w:rPr>
          <w:lang w:eastAsia="de-DE"/>
        </w:rPr>
        <w:t xml:space="preserve"> and </w:t>
      </w:r>
      <w:r w:rsidR="00F74023">
        <w:rPr>
          <w:lang w:eastAsia="de-DE"/>
        </w:rPr>
        <w:t>o</w:t>
      </w:r>
      <w:r>
        <w:rPr>
          <w:lang w:eastAsia="de-DE"/>
        </w:rPr>
        <w:t>ther IALA guid</w:t>
      </w:r>
      <w:r w:rsidR="00E502A3">
        <w:rPr>
          <w:lang w:eastAsia="de-DE"/>
        </w:rPr>
        <w:t>elines</w:t>
      </w:r>
      <w:r>
        <w:rPr>
          <w:lang w:eastAsia="de-DE"/>
        </w:rPr>
        <w:t xml:space="preserve">. </w:t>
      </w:r>
    </w:p>
    <w:p w14:paraId="6B6DF93F" w14:textId="77777777" w:rsidR="001A4D47" w:rsidRDefault="004A65E8" w:rsidP="00FA5291">
      <w:pPr>
        <w:pStyle w:val="Heading1"/>
        <w:rPr>
          <w:lang w:eastAsia="de-DE"/>
        </w:rPr>
      </w:pPr>
      <w:bookmarkStart w:id="11" w:name="_Toc34823278"/>
      <w:bookmarkStart w:id="12" w:name="_Toc22141868"/>
      <w:bookmarkStart w:id="13" w:name="_Toc22148618"/>
      <w:bookmarkStart w:id="14" w:name="_Toc22148790"/>
      <w:bookmarkStart w:id="15" w:name="_Toc22152606"/>
      <w:bookmarkStart w:id="16" w:name="_Toc22154438"/>
      <w:bookmarkStart w:id="17" w:name="_Toc36129789"/>
      <w:bookmarkStart w:id="18" w:name="_Toc449013352"/>
      <w:bookmarkEnd w:id="11"/>
      <w:bookmarkEnd w:id="12"/>
      <w:bookmarkEnd w:id="13"/>
      <w:bookmarkEnd w:id="14"/>
      <w:bookmarkEnd w:id="15"/>
      <w:bookmarkEnd w:id="16"/>
      <w:r>
        <w:rPr>
          <w:caps w:val="0"/>
          <w:lang w:eastAsia="de-DE"/>
        </w:rPr>
        <w:t>SCOPE</w:t>
      </w:r>
      <w:bookmarkEnd w:id="17"/>
    </w:p>
    <w:p w14:paraId="74FFD30E" w14:textId="77777777" w:rsidR="001A4D47" w:rsidRDefault="001A4D47" w:rsidP="000D47AF">
      <w:pPr>
        <w:pStyle w:val="Heading1separatationline"/>
      </w:pPr>
    </w:p>
    <w:p w14:paraId="1550BE7E" w14:textId="77777777" w:rsidR="002307A7" w:rsidRDefault="00F74023" w:rsidP="000D47AF">
      <w:pPr>
        <w:pStyle w:val="BodyText"/>
        <w:rPr>
          <w:lang w:eastAsia="de-DE"/>
        </w:rPr>
      </w:pPr>
      <w:r>
        <w:rPr>
          <w:lang w:eastAsia="de-DE"/>
        </w:rPr>
        <w:t xml:space="preserve">This </w:t>
      </w:r>
      <w:r w:rsidR="001C2518">
        <w:rPr>
          <w:lang w:eastAsia="de-DE"/>
        </w:rPr>
        <w:t>guideline</w:t>
      </w:r>
      <w:r w:rsidR="00126224">
        <w:rPr>
          <w:lang w:eastAsia="de-DE"/>
        </w:rPr>
        <w:t xml:space="preserve"> provides information relating to the operational use of MAtoN for the marking of </w:t>
      </w:r>
      <w:commentRangeStart w:id="19"/>
      <w:r w:rsidR="00126224">
        <w:rPr>
          <w:lang w:eastAsia="de-DE"/>
        </w:rPr>
        <w:t xml:space="preserve">moving or drifting </w:t>
      </w:r>
      <w:commentRangeEnd w:id="19"/>
      <w:r w:rsidR="00602172">
        <w:rPr>
          <w:rStyle w:val="CommentReference"/>
        </w:rPr>
        <w:commentReference w:id="19"/>
      </w:r>
      <w:r w:rsidR="00126224" w:rsidRPr="007657B0">
        <w:rPr>
          <w:lang w:eastAsia="de-DE"/>
        </w:rPr>
        <w:t>hazard</w:t>
      </w:r>
      <w:r w:rsidR="00126224">
        <w:rPr>
          <w:lang w:eastAsia="de-DE"/>
        </w:rPr>
        <w:t>s</w:t>
      </w:r>
      <w:r w:rsidR="00126224" w:rsidRPr="007657B0">
        <w:rPr>
          <w:lang w:eastAsia="de-DE"/>
        </w:rPr>
        <w:t xml:space="preserve"> to navigation</w:t>
      </w:r>
      <w:r w:rsidR="00126224">
        <w:rPr>
          <w:lang w:eastAsia="de-DE"/>
        </w:rPr>
        <w:t xml:space="preserve">. </w:t>
      </w:r>
    </w:p>
    <w:p w14:paraId="42D11B78" w14:textId="77777777" w:rsidR="005464C7" w:rsidRDefault="002307A7" w:rsidP="000D47AF">
      <w:pPr>
        <w:pStyle w:val="BodyText"/>
        <w:rPr>
          <w:lang w:eastAsia="de-DE"/>
        </w:rPr>
      </w:pPr>
      <w:r>
        <w:rPr>
          <w:lang w:eastAsia="de-DE"/>
        </w:rPr>
        <w:t>It</w:t>
      </w:r>
      <w:r w:rsidR="00126224">
        <w:rPr>
          <w:lang w:eastAsia="de-DE"/>
        </w:rPr>
        <w:t xml:space="preserve"> </w:t>
      </w:r>
      <w:r w:rsidR="007F2FC9">
        <w:rPr>
          <w:lang w:eastAsia="de-DE"/>
        </w:rPr>
        <w:t xml:space="preserve">includes </w:t>
      </w:r>
      <w:r w:rsidR="00126224">
        <w:rPr>
          <w:lang w:eastAsia="de-DE"/>
        </w:rPr>
        <w:t xml:space="preserve">information on </w:t>
      </w:r>
      <w:r w:rsidR="001A4D47">
        <w:rPr>
          <w:lang w:eastAsia="de-DE"/>
        </w:rPr>
        <w:t xml:space="preserve">instances where </w:t>
      </w:r>
      <w:r w:rsidR="00126224">
        <w:rPr>
          <w:lang w:eastAsia="de-DE"/>
        </w:rPr>
        <w:t xml:space="preserve">MAtoN </w:t>
      </w:r>
      <w:r w:rsidR="001A4D47">
        <w:rPr>
          <w:lang w:eastAsia="de-DE"/>
        </w:rPr>
        <w:t xml:space="preserve">can be used, </w:t>
      </w:r>
      <w:r w:rsidR="005464C7">
        <w:rPr>
          <w:lang w:eastAsia="de-DE"/>
        </w:rPr>
        <w:t xml:space="preserve">responsibilities for </w:t>
      </w:r>
      <w:r w:rsidR="007F2FC9">
        <w:rPr>
          <w:lang w:eastAsia="de-DE"/>
        </w:rPr>
        <w:t xml:space="preserve">its </w:t>
      </w:r>
      <w:r w:rsidR="005464C7">
        <w:rPr>
          <w:lang w:eastAsia="de-DE"/>
        </w:rPr>
        <w:t>use</w:t>
      </w:r>
      <w:r w:rsidR="001A4D47">
        <w:rPr>
          <w:lang w:eastAsia="de-DE"/>
        </w:rPr>
        <w:t xml:space="preserve">, </w:t>
      </w:r>
      <w:r w:rsidR="00856D2C">
        <w:rPr>
          <w:lang w:eastAsia="de-DE"/>
        </w:rPr>
        <w:t xml:space="preserve">how </w:t>
      </w:r>
      <w:ins w:id="20" w:author="Tomren, Guttorm" w:date="2020-03-27T09:55:00Z">
        <w:r w:rsidR="00646390">
          <w:rPr>
            <w:lang w:eastAsia="de-DE"/>
          </w:rPr>
          <w:t xml:space="preserve">moving or drifting </w:t>
        </w:r>
      </w:ins>
      <w:r w:rsidR="001A4D47" w:rsidRPr="00DC7360">
        <w:rPr>
          <w:strike/>
          <w:highlight w:val="yellow"/>
          <w:lang w:eastAsia="de-DE"/>
        </w:rPr>
        <w:t>drifting</w:t>
      </w:r>
      <w:r w:rsidR="00856D2C" w:rsidRPr="00DC7360">
        <w:rPr>
          <w:strike/>
          <w:highlight w:val="yellow"/>
          <w:lang w:eastAsia="de-DE"/>
        </w:rPr>
        <w:t xml:space="preserve"> and guided</w:t>
      </w:r>
      <w:r w:rsidR="001A4D47">
        <w:rPr>
          <w:lang w:eastAsia="de-DE"/>
        </w:rPr>
        <w:t xml:space="preserve"> hazard</w:t>
      </w:r>
      <w:r w:rsidR="00856D2C">
        <w:rPr>
          <w:lang w:eastAsia="de-DE"/>
        </w:rPr>
        <w:t>s</w:t>
      </w:r>
      <w:r w:rsidR="001A4D47">
        <w:rPr>
          <w:lang w:eastAsia="de-DE"/>
        </w:rPr>
        <w:t xml:space="preserve"> </w:t>
      </w:r>
      <w:r w:rsidR="005464C7">
        <w:rPr>
          <w:lang w:eastAsia="de-DE"/>
        </w:rPr>
        <w:t xml:space="preserve">can </w:t>
      </w:r>
      <w:r w:rsidR="001A4D47">
        <w:rPr>
          <w:lang w:eastAsia="de-DE"/>
        </w:rPr>
        <w:t>be marked</w:t>
      </w:r>
      <w:r w:rsidR="00E7786B">
        <w:rPr>
          <w:lang w:eastAsia="de-DE"/>
        </w:rPr>
        <w:t>,</w:t>
      </w:r>
      <w:r w:rsidR="001A4D47">
        <w:rPr>
          <w:lang w:eastAsia="de-DE"/>
        </w:rPr>
        <w:t xml:space="preserve"> and other pertinent guidance. </w:t>
      </w:r>
    </w:p>
    <w:p w14:paraId="6B17B211" w14:textId="77777777" w:rsidR="001A4D47" w:rsidRDefault="001A4D47" w:rsidP="000D47AF">
      <w:pPr>
        <w:pStyle w:val="BodyText"/>
        <w:rPr>
          <w:lang w:eastAsia="de-DE"/>
        </w:rPr>
      </w:pPr>
      <w:r>
        <w:rPr>
          <w:lang w:eastAsia="de-DE"/>
        </w:rPr>
        <w:t>While t</w:t>
      </w:r>
      <w:r w:rsidR="00E4153D">
        <w:rPr>
          <w:lang w:eastAsia="de-DE"/>
        </w:rPr>
        <w:t>his guideline cannot</w:t>
      </w:r>
      <w:r>
        <w:rPr>
          <w:lang w:eastAsia="de-DE"/>
        </w:rPr>
        <w:t xml:space="preserve"> </w:t>
      </w:r>
      <w:r w:rsidR="005464C7">
        <w:rPr>
          <w:lang w:eastAsia="de-DE"/>
        </w:rPr>
        <w:t xml:space="preserve">address </w:t>
      </w:r>
      <w:r w:rsidR="00E4153D">
        <w:rPr>
          <w:lang w:eastAsia="de-DE"/>
        </w:rPr>
        <w:t xml:space="preserve">every </w:t>
      </w:r>
      <w:r w:rsidR="007F2FC9">
        <w:rPr>
          <w:lang w:eastAsia="de-DE"/>
        </w:rPr>
        <w:t xml:space="preserve">conceivable </w:t>
      </w:r>
      <w:r w:rsidR="00E4153D">
        <w:rPr>
          <w:lang w:eastAsia="de-DE"/>
        </w:rPr>
        <w:t>use</w:t>
      </w:r>
      <w:r w:rsidR="00856D2C">
        <w:rPr>
          <w:lang w:eastAsia="de-DE"/>
        </w:rPr>
        <w:t xml:space="preserve"> of MAtoN</w:t>
      </w:r>
      <w:r>
        <w:rPr>
          <w:lang w:eastAsia="de-DE"/>
        </w:rPr>
        <w:t>, it is intended to provide useful information</w:t>
      </w:r>
      <w:r w:rsidR="0020768A">
        <w:rPr>
          <w:lang w:eastAsia="de-DE"/>
        </w:rPr>
        <w:t xml:space="preserve"> to assist national members and </w:t>
      </w:r>
      <w:r w:rsidR="00A66025">
        <w:rPr>
          <w:lang w:eastAsia="de-DE"/>
        </w:rPr>
        <w:t>Competent Authorities</w:t>
      </w:r>
      <w:r w:rsidR="0020768A">
        <w:rPr>
          <w:lang w:eastAsia="de-DE"/>
        </w:rPr>
        <w:t xml:space="preserve"> in managing the marking of </w:t>
      </w:r>
      <w:r w:rsidR="00162ABF">
        <w:rPr>
          <w:lang w:eastAsia="de-DE"/>
        </w:rPr>
        <w:t xml:space="preserve">moving or </w:t>
      </w:r>
      <w:r w:rsidR="0020768A">
        <w:rPr>
          <w:lang w:eastAsia="de-DE"/>
        </w:rPr>
        <w:t>drifting hazards</w:t>
      </w:r>
      <w:r w:rsidR="005464C7">
        <w:rPr>
          <w:lang w:eastAsia="de-DE"/>
        </w:rPr>
        <w:t>.</w:t>
      </w:r>
      <w:r>
        <w:rPr>
          <w:lang w:eastAsia="de-DE"/>
        </w:rPr>
        <w:t xml:space="preserve"> </w:t>
      </w:r>
    </w:p>
    <w:p w14:paraId="07173076" w14:textId="77777777" w:rsidR="001A4D47" w:rsidRPr="000D47AF" w:rsidRDefault="001A4D47" w:rsidP="000D47AF">
      <w:pPr>
        <w:pStyle w:val="BodyText"/>
      </w:pPr>
      <w:r>
        <w:rPr>
          <w:lang w:eastAsia="de-DE"/>
        </w:rPr>
        <w:t xml:space="preserve">Appropriate </w:t>
      </w:r>
      <w:r w:rsidR="00856D2C">
        <w:rPr>
          <w:lang w:eastAsia="de-DE"/>
        </w:rPr>
        <w:t xml:space="preserve">IALA </w:t>
      </w:r>
      <w:r>
        <w:rPr>
          <w:lang w:eastAsia="de-DE"/>
        </w:rPr>
        <w:t xml:space="preserve">sources and references should be consulted for additional relevant information. </w:t>
      </w:r>
    </w:p>
    <w:p w14:paraId="1FAAE321" w14:textId="77777777" w:rsidR="001A4D47" w:rsidRDefault="004A65E8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1" w:name="_Toc36129790"/>
      <w:r>
        <w:rPr>
          <w:caps w:val="0"/>
        </w:rPr>
        <w:t>DEFINITION</w:t>
      </w:r>
      <w:bookmarkEnd w:id="21"/>
    </w:p>
    <w:p w14:paraId="79D82EAB" w14:textId="77777777" w:rsidR="001A4D47" w:rsidRDefault="001A4D47" w:rsidP="000D47AF">
      <w:pPr>
        <w:pStyle w:val="Heading1separatationline"/>
      </w:pPr>
    </w:p>
    <w:p w14:paraId="75835379" w14:textId="77777777" w:rsidR="005464C7" w:rsidRDefault="003334C7" w:rsidP="00D43242">
      <w:pPr>
        <w:pStyle w:val="BodyText"/>
        <w:rPr>
          <w:ins w:id="22" w:author="Tom Southall" w:date="2020-03-26T15:36:00Z"/>
        </w:rPr>
      </w:pPr>
      <w:r w:rsidRPr="00FA5291">
        <w:rPr>
          <w:rFonts w:eastAsia="SimSun"/>
        </w:rPr>
        <w:t xml:space="preserve">A </w:t>
      </w:r>
      <w:r w:rsidRPr="0019610A">
        <w:rPr>
          <w:rFonts w:eastAsia="SimSun"/>
        </w:rPr>
        <w:t>MAtoN</w:t>
      </w:r>
      <w:r w:rsidRPr="00FA5291">
        <w:rPr>
          <w:rFonts w:eastAsia="SimSun"/>
        </w:rPr>
        <w:t xml:space="preserve"> </w:t>
      </w:r>
      <w:r w:rsidR="00E4153D">
        <w:rPr>
          <w:rFonts w:eastAsia="SimSun"/>
        </w:rPr>
        <w:t>is</w:t>
      </w:r>
      <w:r w:rsidRPr="00FA5291">
        <w:rPr>
          <w:rFonts w:eastAsia="SimSun"/>
        </w:rPr>
        <w:t xml:space="preserve"> defined as a non</w:t>
      </w:r>
      <w:r w:rsidR="00E4153D">
        <w:rPr>
          <w:rFonts w:eastAsia="SimSun"/>
        </w:rPr>
        <w:t>-</w:t>
      </w:r>
      <w:r w:rsidRPr="00FA5291">
        <w:rPr>
          <w:rFonts w:eastAsia="SimSun"/>
        </w:rPr>
        <w:t>fixed or un</w:t>
      </w:r>
      <w:r w:rsidR="00E4153D">
        <w:rPr>
          <w:rFonts w:eastAsia="SimSun" w:hint="eastAsia"/>
        </w:rPr>
        <w:t>-</w:t>
      </w:r>
      <w:r w:rsidRPr="00FA5291">
        <w:rPr>
          <w:rFonts w:eastAsia="SimSun"/>
        </w:rPr>
        <w:t xml:space="preserve">moored AtoN; </w:t>
      </w:r>
      <w:r w:rsidR="005464C7">
        <w:rPr>
          <w:rFonts w:eastAsia="SimSun"/>
        </w:rPr>
        <w:t xml:space="preserve">it </w:t>
      </w:r>
      <w:r w:rsidRPr="00FA5291">
        <w:rPr>
          <w:rFonts w:eastAsia="SimSun"/>
        </w:rPr>
        <w:t>does not include a fixed or moored buoy that is adrift from station, temporar</w:t>
      </w:r>
      <w:r w:rsidR="00162ABF">
        <w:rPr>
          <w:rFonts w:eastAsia="SimSun"/>
        </w:rPr>
        <w:t>il</w:t>
      </w:r>
      <w:r w:rsidRPr="00FA5291">
        <w:rPr>
          <w:rFonts w:eastAsia="SimSun"/>
        </w:rPr>
        <w:t>y or otherwise</w:t>
      </w:r>
      <w:r w:rsidR="00EA29C9">
        <w:rPr>
          <w:rFonts w:eastAsia="SimSun"/>
        </w:rPr>
        <w:t>.</w:t>
      </w:r>
      <w:r w:rsidRPr="00D43242" w:rsidDel="003334C7">
        <w:t xml:space="preserve"> </w:t>
      </w:r>
    </w:p>
    <w:p w14:paraId="4A2644D0" w14:textId="77777777" w:rsidR="00596A0F" w:rsidRDefault="00596A0F" w:rsidP="00D43242">
      <w:pPr>
        <w:pStyle w:val="BodyText"/>
      </w:pPr>
      <w:ins w:id="23" w:author="Tom Southall" w:date="2020-03-26T15:36:00Z">
        <w:r>
          <w:t xml:space="preserve">[From Oleg Highday: </w:t>
        </w:r>
        <w:r>
          <w:rPr>
            <w:rFonts w:eastAsia="Times New Roman"/>
          </w:rPr>
          <w:t>A MAtoN is defined as a AtoN designed to indicate a drifting hazard , mounted directly on a hazard or attached to a given hazard, which does not have a fixed position and moves along with the hazard.]</w:t>
        </w:r>
      </w:ins>
    </w:p>
    <w:p w14:paraId="392AC325" w14:textId="77777777" w:rsidR="009262B6" w:rsidRPr="00D43242" w:rsidRDefault="00251A63" w:rsidP="00D43242">
      <w:pPr>
        <w:pStyle w:val="BodyText"/>
      </w:pPr>
      <w:r>
        <w:t xml:space="preserve">A MAtoN </w:t>
      </w:r>
      <w:r w:rsidRPr="00D2329D">
        <w:t xml:space="preserve">can be fitted with an </w:t>
      </w:r>
      <w:r w:rsidRPr="002C5776">
        <w:t>Automatic Identification System (AIS) device</w:t>
      </w:r>
      <w:r w:rsidR="00D70B4C">
        <w:t xml:space="preserve"> transmitting message 21</w:t>
      </w:r>
      <w:r w:rsidRPr="00D2329D">
        <w:t xml:space="preserve">. </w:t>
      </w:r>
    </w:p>
    <w:p w14:paraId="388D2547" w14:textId="77777777" w:rsidR="00D43242" w:rsidRPr="002C5776" w:rsidRDefault="00E4153D" w:rsidP="00D43242">
      <w:pPr>
        <w:pStyle w:val="BodyText"/>
        <w:rPr>
          <w:i/>
        </w:rPr>
      </w:pPr>
      <w:r w:rsidRPr="002C5776">
        <w:rPr>
          <w:i/>
        </w:rPr>
        <w:t xml:space="preserve">Note: MAtoN should not </w:t>
      </w:r>
      <w:r w:rsidR="00D43242" w:rsidRPr="002C5776">
        <w:rPr>
          <w:i/>
        </w:rPr>
        <w:t xml:space="preserve">be used for unmanned </w:t>
      </w:r>
      <w:r w:rsidRPr="002C5776">
        <w:rPr>
          <w:i/>
        </w:rPr>
        <w:t>vessel</w:t>
      </w:r>
      <w:r w:rsidR="00D43242" w:rsidRPr="002C5776">
        <w:rPr>
          <w:i/>
        </w:rPr>
        <w:t xml:space="preserve"> applications</w:t>
      </w:r>
      <w:r w:rsidR="00461893" w:rsidRPr="002C5776">
        <w:rPr>
          <w:i/>
        </w:rPr>
        <w:t>.</w:t>
      </w:r>
      <w:r w:rsidRPr="002C5776">
        <w:rPr>
          <w:i/>
        </w:rPr>
        <w:t xml:space="preserve"> The lights exhibited by these vessels should comply with COLREGS, or other </w:t>
      </w:r>
      <w:r w:rsidR="00006B77">
        <w:rPr>
          <w:i/>
        </w:rPr>
        <w:t>C</w:t>
      </w:r>
      <w:r w:rsidRPr="002C5776">
        <w:rPr>
          <w:i/>
        </w:rPr>
        <w:t xml:space="preserve">ompetent </w:t>
      </w:r>
      <w:r w:rsidR="00006B77">
        <w:rPr>
          <w:i/>
        </w:rPr>
        <w:t>A</w:t>
      </w:r>
      <w:r w:rsidRPr="002C5776">
        <w:rPr>
          <w:i/>
        </w:rPr>
        <w:t xml:space="preserve">uthority regulations. </w:t>
      </w:r>
    </w:p>
    <w:p w14:paraId="19DBEF89" w14:textId="77777777" w:rsidR="006E5FB0" w:rsidRDefault="004A65E8" w:rsidP="00FA5291">
      <w:pPr>
        <w:pStyle w:val="Heading1"/>
      </w:pPr>
      <w:bookmarkStart w:id="24" w:name="_Toc36129791"/>
      <w:r>
        <w:rPr>
          <w:caps w:val="0"/>
        </w:rPr>
        <w:t>TYPICAL USES</w:t>
      </w:r>
      <w:bookmarkEnd w:id="24"/>
    </w:p>
    <w:p w14:paraId="25810CF9" w14:textId="77777777" w:rsidR="00D43242" w:rsidRDefault="006E5FB0" w:rsidP="00D43242">
      <w:pPr>
        <w:pStyle w:val="BodyText"/>
      </w:pPr>
      <w:r>
        <w:t>M</w:t>
      </w:r>
      <w:r w:rsidR="00D43242">
        <w:t>obile aids to navigation may</w:t>
      </w:r>
      <w:r>
        <w:t xml:space="preserve">be used, but not limited to, </w:t>
      </w:r>
      <w:r w:rsidR="00251A63">
        <w:t xml:space="preserve">for </w:t>
      </w:r>
      <w:r>
        <w:t>following</w:t>
      </w:r>
      <w:r w:rsidR="00AC3DA1">
        <w:t xml:space="preserve"> moving</w:t>
      </w:r>
      <w:r w:rsidR="00EB1F92">
        <w:t>/drifting</w:t>
      </w:r>
      <w:r>
        <w:t xml:space="preserve"> applications</w:t>
      </w:r>
      <w:r w:rsidR="00D43242">
        <w:t>:</w:t>
      </w:r>
    </w:p>
    <w:p w14:paraId="62DB7AC1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Ocean Data Acquisition System (ODAS) (e</w:t>
      </w:r>
      <w:r w:rsidR="005464C7">
        <w:rPr>
          <w:lang w:eastAsia="de-DE"/>
        </w:rPr>
        <w:t>.</w:t>
      </w:r>
      <w:r>
        <w:rPr>
          <w:lang w:eastAsia="de-DE"/>
        </w:rPr>
        <w:t xml:space="preserve">g. </w:t>
      </w:r>
      <w:r w:rsidR="005464C7">
        <w:rPr>
          <w:lang w:eastAsia="de-DE"/>
        </w:rPr>
        <w:t>to gather</w:t>
      </w:r>
      <w:r w:rsidR="00566453">
        <w:rPr>
          <w:lang w:eastAsia="de-DE"/>
        </w:rPr>
        <w:t xml:space="preserve"> data on</w:t>
      </w:r>
      <w:r w:rsidR="005464C7">
        <w:rPr>
          <w:lang w:eastAsia="de-DE"/>
        </w:rPr>
        <w:t xml:space="preserve"> </w:t>
      </w:r>
      <w:r>
        <w:rPr>
          <w:lang w:eastAsia="de-DE"/>
        </w:rPr>
        <w:t>currents</w:t>
      </w:r>
      <w:r w:rsidR="005464C7">
        <w:rPr>
          <w:lang w:eastAsia="de-DE"/>
        </w:rPr>
        <w:t xml:space="preserve"> and </w:t>
      </w:r>
      <w:r>
        <w:rPr>
          <w:lang w:eastAsia="de-DE"/>
        </w:rPr>
        <w:t>weather)</w:t>
      </w:r>
    </w:p>
    <w:p w14:paraId="19013733" w14:textId="77777777" w:rsidR="00D43242" w:rsidRPr="00D576F8" w:rsidRDefault="00EB1F9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</w:t>
      </w:r>
      <w:r w:rsidR="00D43242" w:rsidRPr="00D576F8">
        <w:rPr>
          <w:lang w:eastAsia="de-DE"/>
        </w:rPr>
        <w:t>reckage (e</w:t>
      </w:r>
      <w:r w:rsidR="00997006">
        <w:rPr>
          <w:lang w:eastAsia="de-DE"/>
        </w:rPr>
        <w:t>.</w:t>
      </w:r>
      <w:r w:rsidR="00D43242" w:rsidRPr="00D576F8">
        <w:rPr>
          <w:lang w:eastAsia="de-DE"/>
        </w:rPr>
        <w:t>g. containers, debris)</w:t>
      </w:r>
    </w:p>
    <w:p w14:paraId="5EAF6762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 xml:space="preserve">Water quality </w:t>
      </w:r>
      <w:r w:rsidR="00566453">
        <w:rPr>
          <w:lang w:eastAsia="de-DE"/>
        </w:rPr>
        <w:t xml:space="preserve">and </w:t>
      </w:r>
      <w:r>
        <w:rPr>
          <w:lang w:eastAsia="de-DE"/>
        </w:rPr>
        <w:t>pollution monitoring</w:t>
      </w:r>
      <w:r w:rsidR="00E4153D">
        <w:rPr>
          <w:lang w:eastAsia="de-DE"/>
        </w:rPr>
        <w:t xml:space="preserve"> equipment</w:t>
      </w:r>
    </w:p>
    <w:p w14:paraId="0A1DFBDD" w14:textId="77777777" w:rsidR="00D43242" w:rsidRDefault="00566453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 xml:space="preserve">Dynamic </w:t>
      </w:r>
      <w:r w:rsidR="00D43242">
        <w:rPr>
          <w:lang w:eastAsia="de-DE"/>
        </w:rPr>
        <w:t xml:space="preserve">guard zones </w:t>
      </w:r>
      <w:r>
        <w:rPr>
          <w:lang w:eastAsia="de-DE"/>
        </w:rPr>
        <w:t xml:space="preserve">and </w:t>
      </w:r>
      <w:r w:rsidR="00D43242">
        <w:rPr>
          <w:lang w:eastAsia="de-DE"/>
        </w:rPr>
        <w:t>convoys</w:t>
      </w:r>
    </w:p>
    <w:p w14:paraId="3B53F7EC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Underwater operations</w:t>
      </w:r>
    </w:p>
    <w:p w14:paraId="1F5AD9C6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Enhanc</w:t>
      </w:r>
      <w:r w:rsidR="00566453">
        <w:rPr>
          <w:lang w:eastAsia="de-DE"/>
        </w:rPr>
        <w:t xml:space="preserve">ing </w:t>
      </w:r>
      <w:r>
        <w:rPr>
          <w:lang w:eastAsia="de-DE"/>
        </w:rPr>
        <w:t>navigational safety during military operations (e.g. no sail zones during minesweeping, target exercises</w:t>
      </w:r>
      <w:r w:rsidR="00566453">
        <w:rPr>
          <w:lang w:eastAsia="de-DE"/>
        </w:rPr>
        <w:t xml:space="preserve"> areas</w:t>
      </w:r>
      <w:r>
        <w:rPr>
          <w:lang w:eastAsia="de-DE"/>
        </w:rPr>
        <w:t>)</w:t>
      </w:r>
    </w:p>
    <w:p w14:paraId="7B614DE1" w14:textId="77777777" w:rsidR="00D43242" w:rsidRPr="00BE25DE" w:rsidRDefault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566453">
        <w:rPr>
          <w:rFonts w:eastAsiaTheme="minorEastAsia"/>
          <w:lang w:eastAsia="ko-KR"/>
        </w:rPr>
        <w:t>Towed and deployed applications (e</w:t>
      </w:r>
      <w:r w:rsidR="00997006" w:rsidRPr="00566453">
        <w:rPr>
          <w:rFonts w:eastAsiaTheme="minorEastAsia"/>
          <w:lang w:eastAsia="ko-KR"/>
        </w:rPr>
        <w:t>.</w:t>
      </w:r>
      <w:r w:rsidRPr="00566453">
        <w:rPr>
          <w:rFonts w:eastAsiaTheme="minorEastAsia"/>
          <w:lang w:eastAsia="ko-KR"/>
        </w:rPr>
        <w:t>g. cable laying</w:t>
      </w:r>
      <w:r w:rsidR="00D70B4C">
        <w:rPr>
          <w:rFonts w:eastAsiaTheme="minorEastAsia"/>
          <w:lang w:eastAsia="ko-KR"/>
        </w:rPr>
        <w:t>)</w:t>
      </w:r>
      <w:r w:rsidR="00AC3DA1">
        <w:rPr>
          <w:rFonts w:eastAsiaTheme="minorEastAsia"/>
          <w:lang w:eastAsia="ko-KR"/>
        </w:rPr>
        <w:t xml:space="preserve">. </w:t>
      </w:r>
    </w:p>
    <w:p w14:paraId="5EF59F7B" w14:textId="77777777" w:rsidR="00D43242" w:rsidRPr="008A728E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 xml:space="preserve">Search &amp; Rescue applications </w:t>
      </w:r>
    </w:p>
    <w:p w14:paraId="0FF41D82" w14:textId="77777777" w:rsidR="00430F61" w:rsidRPr="00430F61" w:rsidRDefault="00D43242" w:rsidP="00430F61">
      <w:pPr>
        <w:pStyle w:val="BodyText"/>
        <w:numPr>
          <w:ilvl w:val="0"/>
          <w:numId w:val="48"/>
        </w:numPr>
        <w:spacing w:line="240" w:lineRule="auto"/>
        <w:jc w:val="both"/>
        <w:rPr>
          <w:ins w:id="25" w:author="Tom Southall" w:date="2020-03-26T15:16:00Z"/>
          <w:rFonts w:eastAsia="Calibri"/>
          <w:lang w:eastAsia="de-DE"/>
        </w:rPr>
      </w:pPr>
      <w:r>
        <w:rPr>
          <w:lang w:eastAsia="de-DE"/>
        </w:rPr>
        <w:t>Special events (e</w:t>
      </w:r>
      <w:r w:rsidR="00997006">
        <w:rPr>
          <w:lang w:eastAsia="de-DE"/>
        </w:rPr>
        <w:t>.</w:t>
      </w:r>
      <w:r>
        <w:rPr>
          <w:lang w:eastAsia="de-DE"/>
        </w:rPr>
        <w:t>g. swimming</w:t>
      </w:r>
      <w:r w:rsidR="00997006">
        <w:rPr>
          <w:lang w:eastAsia="de-DE"/>
        </w:rPr>
        <w:t xml:space="preserve"> </w:t>
      </w:r>
      <w:r w:rsidR="00566453">
        <w:rPr>
          <w:lang w:eastAsia="de-DE"/>
        </w:rPr>
        <w:t>competitions</w:t>
      </w:r>
      <w:r>
        <w:rPr>
          <w:lang w:eastAsia="de-DE"/>
        </w:rPr>
        <w:t>)</w:t>
      </w:r>
    </w:p>
    <w:p w14:paraId="231CC651" w14:textId="77777777" w:rsidR="00430F61" w:rsidDel="00A143A9" w:rsidRDefault="00430F61" w:rsidP="00A143A9">
      <w:pPr>
        <w:pStyle w:val="BodyText"/>
        <w:numPr>
          <w:ilvl w:val="0"/>
          <w:numId w:val="48"/>
        </w:numPr>
        <w:spacing w:line="240" w:lineRule="auto"/>
        <w:jc w:val="both"/>
        <w:rPr>
          <w:del w:id="26" w:author="Tom Southall" w:date="2020-03-26T15:18:00Z"/>
          <w:rFonts w:eastAsia="Calibri"/>
          <w:lang w:eastAsia="de-DE"/>
        </w:rPr>
      </w:pPr>
      <w:ins w:id="27" w:author="Tom Southall" w:date="2020-03-26T15:16:00Z">
        <w:r w:rsidRPr="00A143A9">
          <w:rPr>
            <w:rFonts w:eastAsia="Calibri"/>
            <w:lang w:eastAsia="de-DE"/>
          </w:rPr>
          <w:t xml:space="preserve"> </w:t>
        </w:r>
        <w:commentRangeStart w:id="28"/>
        <w:r w:rsidRPr="00A143A9">
          <w:rPr>
            <w:rFonts w:eastAsia="Calibri"/>
            <w:lang w:eastAsia="de-DE"/>
          </w:rPr>
          <w:t xml:space="preserve">Dangerous Area To Navigation Due to Rocket Carrier Elements Fall </w:t>
        </w:r>
      </w:ins>
      <w:commentRangeEnd w:id="28"/>
      <w:ins w:id="29" w:author="Tom Southall" w:date="2020-03-26T15:18:00Z">
        <w:r w:rsidR="00A143A9">
          <w:rPr>
            <w:rStyle w:val="CommentReference"/>
          </w:rPr>
          <w:commentReference w:id="28"/>
        </w:r>
      </w:ins>
    </w:p>
    <w:p w14:paraId="2DEF55E2" w14:textId="77777777" w:rsidR="00845A44" w:rsidRPr="00993B7D" w:rsidRDefault="004A65E8" w:rsidP="00A143A9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30" w:name="_Toc34823282"/>
      <w:bookmarkStart w:id="31" w:name="_Toc34823283"/>
      <w:bookmarkStart w:id="32" w:name="_Toc36129792"/>
      <w:bookmarkEnd w:id="30"/>
      <w:bookmarkEnd w:id="31"/>
      <w:commentRangeStart w:id="33"/>
      <w:r w:rsidRPr="00A143A9">
        <w:rPr>
          <w:caps w:val="0"/>
        </w:rPr>
        <w:lastRenderedPageBreak/>
        <w:t>TYPES OF MOBILE ATON</w:t>
      </w:r>
      <w:bookmarkEnd w:id="18"/>
      <w:commentRangeEnd w:id="33"/>
      <w:r w:rsidR="002E66BB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33"/>
      </w:r>
      <w:bookmarkEnd w:id="32"/>
    </w:p>
    <w:p w14:paraId="15B3C19C" w14:textId="77777777" w:rsidR="00566453" w:rsidRDefault="005A67A4" w:rsidP="005A67A4">
      <w:pPr>
        <w:rPr>
          <w:sz w:val="22"/>
          <w:lang w:val="en-AU" w:eastAsia="de-DE"/>
        </w:rPr>
      </w:pPr>
      <w:r w:rsidRPr="00A951DD">
        <w:rPr>
          <w:sz w:val="22"/>
          <w:lang w:val="en-AU" w:eastAsia="de-DE"/>
        </w:rPr>
        <w:t xml:space="preserve">MAtoN can </w:t>
      </w:r>
      <w:r w:rsidR="00F4537C">
        <w:rPr>
          <w:sz w:val="22"/>
          <w:lang w:val="en-AU" w:eastAsia="de-DE"/>
        </w:rPr>
        <w:t xml:space="preserve">be deployed </w:t>
      </w:r>
      <w:r w:rsidRPr="00A951DD">
        <w:rPr>
          <w:sz w:val="22"/>
          <w:lang w:val="en-AU" w:eastAsia="de-DE"/>
        </w:rPr>
        <w:t>either</w:t>
      </w:r>
      <w:r w:rsidR="0019610A">
        <w:rPr>
          <w:sz w:val="22"/>
          <w:lang w:val="en-AU" w:eastAsia="de-DE"/>
        </w:rPr>
        <w:t xml:space="preserve"> </w:t>
      </w:r>
      <w:r w:rsidRPr="00A951DD">
        <w:rPr>
          <w:sz w:val="22"/>
          <w:lang w:val="en-AU" w:eastAsia="de-DE"/>
        </w:rPr>
        <w:t>physical</w:t>
      </w:r>
      <w:r w:rsidR="00F4537C">
        <w:rPr>
          <w:sz w:val="22"/>
          <w:lang w:val="en-AU" w:eastAsia="de-DE"/>
        </w:rPr>
        <w:t>ly</w:t>
      </w:r>
      <w:r w:rsidRPr="00A951DD">
        <w:rPr>
          <w:sz w:val="22"/>
          <w:lang w:val="en-AU" w:eastAsia="de-DE"/>
        </w:rPr>
        <w:t xml:space="preserve"> or virtual</w:t>
      </w:r>
      <w:r w:rsidR="00F4537C">
        <w:rPr>
          <w:sz w:val="22"/>
          <w:lang w:val="en-AU" w:eastAsia="de-DE"/>
        </w:rPr>
        <w:t>ly</w:t>
      </w:r>
      <w:r w:rsidRPr="00A951DD">
        <w:rPr>
          <w:sz w:val="22"/>
          <w:lang w:val="en-AU" w:eastAsia="de-DE"/>
        </w:rPr>
        <w:t>.</w:t>
      </w:r>
    </w:p>
    <w:p w14:paraId="2C172D67" w14:textId="77777777" w:rsidR="00566453" w:rsidRDefault="00566453" w:rsidP="005A67A4">
      <w:pPr>
        <w:rPr>
          <w:sz w:val="22"/>
          <w:lang w:val="en-AU" w:eastAsia="de-DE"/>
        </w:rPr>
      </w:pPr>
    </w:p>
    <w:p w14:paraId="103596F2" w14:textId="77777777" w:rsidR="005A67A4" w:rsidRPr="00A951DD" w:rsidRDefault="005A67A4" w:rsidP="005A67A4">
      <w:pPr>
        <w:rPr>
          <w:rFonts w:ascii="Arial" w:hAnsi="Arial" w:cs="Arial"/>
          <w:sz w:val="22"/>
          <w:lang w:val="en-AU"/>
        </w:rPr>
      </w:pPr>
      <w:r w:rsidRPr="00A951DD">
        <w:rPr>
          <w:sz w:val="22"/>
          <w:lang w:val="en-AU" w:eastAsia="de-DE"/>
        </w:rPr>
        <w:t xml:space="preserve">Competent </w:t>
      </w:r>
      <w:r w:rsidR="00006B77">
        <w:rPr>
          <w:sz w:val="22"/>
          <w:lang w:val="en-AU" w:eastAsia="de-DE"/>
        </w:rPr>
        <w:t>A</w:t>
      </w:r>
      <w:r w:rsidRPr="00A951DD">
        <w:rPr>
          <w:sz w:val="22"/>
          <w:lang w:val="en-AU" w:eastAsia="de-DE"/>
        </w:rPr>
        <w:t xml:space="preserve">uthorities should determine the most appropriate type of MAtoN for </w:t>
      </w:r>
      <w:r w:rsidR="0019610A">
        <w:rPr>
          <w:sz w:val="22"/>
          <w:lang w:val="en-AU" w:eastAsia="de-DE"/>
        </w:rPr>
        <w:t>each</w:t>
      </w:r>
      <w:r w:rsidR="0019610A" w:rsidRPr="00A951DD">
        <w:rPr>
          <w:sz w:val="22"/>
          <w:lang w:val="en-AU" w:eastAsia="de-DE"/>
        </w:rPr>
        <w:t xml:space="preserve"> </w:t>
      </w:r>
      <w:r w:rsidR="00566453">
        <w:rPr>
          <w:sz w:val="22"/>
          <w:lang w:val="en-AU" w:eastAsia="de-DE"/>
        </w:rPr>
        <w:t xml:space="preserve">situation, </w:t>
      </w:r>
      <w:r w:rsidRPr="00A951DD">
        <w:rPr>
          <w:sz w:val="22"/>
          <w:lang w:val="en-AU" w:eastAsia="de-DE"/>
        </w:rPr>
        <w:t xml:space="preserve">based on </w:t>
      </w:r>
      <w:r w:rsidR="0019610A">
        <w:rPr>
          <w:sz w:val="22"/>
          <w:lang w:val="en-AU" w:eastAsia="de-DE"/>
        </w:rPr>
        <w:t xml:space="preserve">the </w:t>
      </w:r>
      <w:r w:rsidR="00D90E8D" w:rsidRPr="00A951DD">
        <w:rPr>
          <w:sz w:val="22"/>
          <w:lang w:val="en-AU" w:eastAsia="de-DE"/>
        </w:rPr>
        <w:t xml:space="preserve">available </w:t>
      </w:r>
      <w:r w:rsidR="00566453">
        <w:rPr>
          <w:sz w:val="22"/>
          <w:lang w:val="en-AU" w:eastAsia="de-DE"/>
        </w:rPr>
        <w:t xml:space="preserve">equipment </w:t>
      </w:r>
      <w:r w:rsidR="0019610A">
        <w:rPr>
          <w:sz w:val="22"/>
          <w:lang w:val="en-AU" w:eastAsia="de-DE"/>
        </w:rPr>
        <w:t>and assessment of risk.</w:t>
      </w:r>
    </w:p>
    <w:p w14:paraId="72EC832C" w14:textId="77777777" w:rsidR="00845A44" w:rsidRPr="00857D75" w:rsidRDefault="00845A44" w:rsidP="00B50D67">
      <w:pPr>
        <w:pStyle w:val="Heading2"/>
      </w:pPr>
      <w:bookmarkStart w:id="34" w:name="_Toc22141873"/>
      <w:bookmarkStart w:id="35" w:name="_Toc22148623"/>
      <w:bookmarkStart w:id="36" w:name="_Toc22148795"/>
      <w:bookmarkStart w:id="37" w:name="_Toc22152611"/>
      <w:bookmarkStart w:id="38" w:name="_Toc22154443"/>
      <w:bookmarkStart w:id="39" w:name="_Toc496681973"/>
      <w:bookmarkStart w:id="40" w:name="_Toc496682140"/>
      <w:bookmarkStart w:id="41" w:name="_Toc449013353"/>
      <w:bookmarkStart w:id="42" w:name="_Toc36129793"/>
      <w:bookmarkEnd w:id="34"/>
      <w:bookmarkEnd w:id="35"/>
      <w:bookmarkEnd w:id="36"/>
      <w:bookmarkEnd w:id="37"/>
      <w:bookmarkEnd w:id="38"/>
      <w:bookmarkEnd w:id="39"/>
      <w:bookmarkEnd w:id="40"/>
      <w:r w:rsidRPr="00857D75">
        <w:t xml:space="preserve">Physical </w:t>
      </w:r>
      <w:r w:rsidR="0051029F">
        <w:t>M</w:t>
      </w:r>
      <w:r w:rsidRPr="00857D75">
        <w:t>AtoN</w:t>
      </w:r>
      <w:bookmarkEnd w:id="41"/>
      <w:bookmarkEnd w:id="42"/>
    </w:p>
    <w:p w14:paraId="76713733" w14:textId="77777777" w:rsidR="00566453" w:rsidRDefault="00BC4CC8" w:rsidP="00FA5291">
      <w:pPr>
        <w:autoSpaceDE w:val="0"/>
        <w:autoSpaceDN w:val="0"/>
        <w:adjustRightInd w:val="0"/>
        <w:rPr>
          <w:lang w:eastAsia="de-DE"/>
        </w:rPr>
      </w:pPr>
      <w:r w:rsidRPr="00FA5291">
        <w:rPr>
          <w:sz w:val="22"/>
          <w:lang w:eastAsia="de-DE"/>
        </w:rPr>
        <w:t xml:space="preserve">A physical MAtoN </w:t>
      </w:r>
      <w:r w:rsidR="00D90E8D" w:rsidRPr="00A951DD">
        <w:rPr>
          <w:sz w:val="22"/>
          <w:lang w:eastAsia="de-DE"/>
        </w:rPr>
        <w:t>is</w:t>
      </w:r>
      <w:r w:rsidRPr="00FA5291">
        <w:rPr>
          <w:sz w:val="22"/>
          <w:lang w:eastAsia="de-DE"/>
        </w:rPr>
        <w:t xml:space="preserve"> </w:t>
      </w:r>
      <w:r w:rsidR="003E46FE" w:rsidRPr="00A951DD">
        <w:rPr>
          <w:sz w:val="22"/>
          <w:lang w:eastAsia="de-DE"/>
        </w:rPr>
        <w:t>usually</w:t>
      </w:r>
      <w:r w:rsidRPr="00FA5291">
        <w:rPr>
          <w:sz w:val="22"/>
          <w:lang w:eastAsia="de-DE"/>
        </w:rPr>
        <w:t xml:space="preserve"> a special mark with MAtoN specific </w:t>
      </w:r>
      <w:r w:rsidR="00D90E8D" w:rsidRPr="00A951DD">
        <w:rPr>
          <w:sz w:val="22"/>
          <w:lang w:eastAsia="de-DE"/>
        </w:rPr>
        <w:t xml:space="preserve">light </w:t>
      </w:r>
      <w:r w:rsidRPr="00FA5291">
        <w:rPr>
          <w:sz w:val="22"/>
          <w:lang w:eastAsia="de-DE"/>
        </w:rPr>
        <w:t>characteristic</w:t>
      </w:r>
      <w:r w:rsidR="00D90E8D" w:rsidRPr="00A951DD">
        <w:rPr>
          <w:sz w:val="22"/>
          <w:lang w:eastAsia="de-DE"/>
        </w:rPr>
        <w:t xml:space="preserve"> (see </w:t>
      </w:r>
      <w:r w:rsidR="00566453">
        <w:rPr>
          <w:sz w:val="22"/>
          <w:lang w:eastAsia="de-DE"/>
        </w:rPr>
        <w:t>T</w:t>
      </w:r>
      <w:r w:rsidR="00D90E8D" w:rsidRPr="00A951DD">
        <w:rPr>
          <w:sz w:val="22"/>
          <w:lang w:eastAsia="de-DE"/>
        </w:rPr>
        <w:t>able 1)</w:t>
      </w:r>
      <w:r w:rsidRPr="00FA5291">
        <w:rPr>
          <w:sz w:val="22"/>
          <w:lang w:eastAsia="de-DE"/>
        </w:rPr>
        <w:t xml:space="preserve">. </w:t>
      </w:r>
    </w:p>
    <w:p w14:paraId="705FA86B" w14:textId="77777777" w:rsidR="001E4B5A" w:rsidRDefault="001E4B5A" w:rsidP="00FA5291">
      <w:pPr>
        <w:autoSpaceDE w:val="0"/>
        <w:autoSpaceDN w:val="0"/>
        <w:adjustRightInd w:val="0"/>
        <w:rPr>
          <w:sz w:val="22"/>
          <w:lang w:eastAsia="de-DE"/>
        </w:rPr>
      </w:pPr>
    </w:p>
    <w:p w14:paraId="20CD0BAE" w14:textId="77777777" w:rsidR="00EF0577" w:rsidRPr="00A951DD" w:rsidRDefault="00BC4CC8" w:rsidP="00FA5291">
      <w:pPr>
        <w:autoSpaceDE w:val="0"/>
        <w:autoSpaceDN w:val="0"/>
        <w:adjustRightInd w:val="0"/>
        <w:rPr>
          <w:lang w:val="en-AU" w:eastAsia="de-DE"/>
        </w:rPr>
      </w:pPr>
      <w:r w:rsidRPr="00FA5291">
        <w:rPr>
          <w:sz w:val="22"/>
          <w:lang w:val="en-AU" w:eastAsia="de-DE"/>
        </w:rPr>
        <w:t>Physical MAtoN sh</w:t>
      </w:r>
      <w:r w:rsidR="00EF0577" w:rsidRPr="00A951DD">
        <w:rPr>
          <w:sz w:val="22"/>
          <w:lang w:val="en-AU" w:eastAsia="de-DE"/>
        </w:rPr>
        <w:t>ould</w:t>
      </w:r>
      <w:r w:rsidRPr="00FA5291">
        <w:rPr>
          <w:sz w:val="22"/>
          <w:lang w:val="en-AU" w:eastAsia="de-DE"/>
        </w:rPr>
        <w:t xml:space="preserve"> be designed to meet the following </w:t>
      </w:r>
      <w:r w:rsidR="00EF0577" w:rsidRPr="00A951DD">
        <w:rPr>
          <w:sz w:val="22"/>
          <w:lang w:val="en-AU" w:eastAsia="de-DE"/>
        </w:rPr>
        <w:t>characteristics</w:t>
      </w:r>
      <w:r w:rsidR="00566453">
        <w:rPr>
          <w:sz w:val="22"/>
          <w:lang w:val="en-AU" w:eastAsia="de-DE"/>
        </w:rPr>
        <w:t>.</w:t>
      </w:r>
    </w:p>
    <w:p w14:paraId="7545E0F5" w14:textId="77777777" w:rsidR="00E5394B" w:rsidRPr="00A951DD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sz w:val="22"/>
          <w:highlight w:val="yellow"/>
          <w:lang w:val="en-IE"/>
        </w:rPr>
      </w:pPr>
    </w:p>
    <w:p w14:paraId="14D4138A" w14:textId="77777777" w:rsidR="00B56CEC" w:rsidRPr="00A951DD" w:rsidRDefault="00B56CEC" w:rsidP="00B56CEC">
      <w:pPr>
        <w:pStyle w:val="Caption"/>
        <w:keepNext/>
        <w:jc w:val="center"/>
        <w:rPr>
          <w:rFonts w:cstheme="minorHAnsi"/>
          <w:b w:val="0"/>
          <w:i w:val="0"/>
          <w:color w:val="auto"/>
          <w:u w:val="none"/>
        </w:rPr>
      </w:pPr>
      <w:bookmarkStart w:id="43" w:name="_Toc465149401"/>
      <w:r w:rsidRPr="00A951DD">
        <w:rPr>
          <w:rFonts w:cstheme="minorHAnsi"/>
          <w:b w:val="0"/>
          <w:i w:val="0"/>
          <w:color w:val="auto"/>
          <w:u w:val="none"/>
        </w:rPr>
        <w:t xml:space="preserve">Table </w:t>
      </w:r>
      <w:r w:rsidR="007F7361" w:rsidRPr="00A951DD">
        <w:rPr>
          <w:rFonts w:cstheme="minorHAnsi"/>
          <w:b w:val="0"/>
          <w:i w:val="0"/>
          <w:color w:val="auto"/>
          <w:u w:val="none"/>
        </w:rPr>
        <w:fldChar w:fldCharType="begin"/>
      </w:r>
      <w:r w:rsidRPr="00A951DD">
        <w:rPr>
          <w:rFonts w:cstheme="minorHAnsi"/>
          <w:b w:val="0"/>
          <w:i w:val="0"/>
          <w:color w:val="auto"/>
          <w:u w:val="none"/>
        </w:rPr>
        <w:instrText xml:space="preserve"> SEQ Table \* ARABIC </w:instrText>
      </w:r>
      <w:r w:rsidR="007F7361" w:rsidRPr="00A951DD">
        <w:rPr>
          <w:rFonts w:cstheme="minorHAnsi"/>
          <w:b w:val="0"/>
          <w:i w:val="0"/>
          <w:color w:val="auto"/>
          <w:u w:val="none"/>
        </w:rPr>
        <w:fldChar w:fldCharType="separate"/>
      </w:r>
      <w:r w:rsidRPr="00A951DD">
        <w:rPr>
          <w:rFonts w:cstheme="minorHAnsi"/>
          <w:b w:val="0"/>
          <w:i w:val="0"/>
          <w:noProof/>
          <w:color w:val="auto"/>
          <w:u w:val="none"/>
        </w:rPr>
        <w:t>1</w:t>
      </w:r>
      <w:r w:rsidR="007F7361" w:rsidRPr="00A951DD">
        <w:rPr>
          <w:rFonts w:cstheme="minorHAnsi"/>
          <w:b w:val="0"/>
          <w:i w:val="0"/>
          <w:color w:val="auto"/>
          <w:u w:val="none"/>
        </w:rPr>
        <w:fldChar w:fldCharType="end"/>
      </w:r>
      <w:r w:rsidRPr="00A951DD">
        <w:rPr>
          <w:rFonts w:cstheme="minorHAnsi"/>
          <w:b w:val="0"/>
          <w:i w:val="0"/>
          <w:color w:val="auto"/>
          <w:u w:val="none"/>
        </w:rPr>
        <w:t xml:space="preserve">- </w:t>
      </w:r>
      <w:r w:rsidR="00A53B2D">
        <w:rPr>
          <w:rFonts w:cstheme="minorHAnsi"/>
          <w:b w:val="0"/>
          <w:i w:val="0"/>
          <w:color w:val="auto"/>
          <w:u w:val="none"/>
        </w:rPr>
        <w:t xml:space="preserve">MAtoN </w:t>
      </w:r>
      <w:bookmarkEnd w:id="43"/>
      <w:r w:rsidR="009D5B4F" w:rsidRPr="00A951DD">
        <w:rPr>
          <w:rFonts w:cstheme="minorHAnsi"/>
          <w:b w:val="0"/>
          <w:i w:val="0"/>
          <w:color w:val="auto"/>
          <w:u w:val="none"/>
        </w:rPr>
        <w:t xml:space="preserve">characteristics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30"/>
        <w:gridCol w:w="6763"/>
      </w:tblGrid>
      <w:tr w:rsidR="009D5B4F" w:rsidRPr="00A951DD" w14:paraId="53753D64" w14:textId="77777777" w:rsidTr="00FA5291">
        <w:trPr>
          <w:jc w:val="center"/>
        </w:trPr>
        <w:tc>
          <w:tcPr>
            <w:tcW w:w="2730" w:type="dxa"/>
          </w:tcPr>
          <w:p w14:paraId="26FE446A" w14:textId="77777777" w:rsidR="009D5B4F" w:rsidRPr="00A951DD" w:rsidRDefault="000C0832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Type of AtoN</w:t>
            </w:r>
            <w:r w:rsidR="00DD727D">
              <w:rPr>
                <w:rFonts w:eastAsia="Times New Roman" w:cstheme="minorHAnsi"/>
                <w:sz w:val="22"/>
                <w:lang w:val="en-IE"/>
              </w:rPr>
              <w:t>, colour, and shape</w:t>
            </w:r>
          </w:p>
        </w:tc>
        <w:tc>
          <w:tcPr>
            <w:tcW w:w="6763" w:type="dxa"/>
          </w:tcPr>
          <w:p w14:paraId="03936197" w14:textId="77777777" w:rsidR="00A53B2D" w:rsidRDefault="009D5B4F" w:rsidP="00DD727D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Special Mark</w:t>
            </w:r>
            <w:r w:rsidR="00DD727D">
              <w:rPr>
                <w:rFonts w:eastAsia="Times New Roman" w:cstheme="minorHAnsi"/>
                <w:sz w:val="22"/>
                <w:lang w:val="en-IE"/>
              </w:rPr>
              <w:t xml:space="preserve">. </w:t>
            </w:r>
          </w:p>
          <w:p w14:paraId="4813917B" w14:textId="77777777" w:rsidR="00A53B2D" w:rsidRDefault="00DD727D" w:rsidP="00DD727D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 xml:space="preserve">Colour yellow. </w:t>
            </w:r>
          </w:p>
          <w:p w14:paraId="31C0FB4B" w14:textId="77777777" w:rsidR="009D5B4F" w:rsidRPr="00A951DD" w:rsidRDefault="00DD727D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 xml:space="preserve">Shape optional, but not </w:t>
            </w:r>
            <w:r w:rsidR="00566453">
              <w:rPr>
                <w:rFonts w:eastAsia="Times New Roman" w:cstheme="minorHAnsi"/>
                <w:sz w:val="22"/>
                <w:lang w:val="en-IE"/>
              </w:rPr>
              <w:t xml:space="preserve">in conflict </w:t>
            </w:r>
            <w:r>
              <w:rPr>
                <w:rFonts w:eastAsia="Times New Roman" w:cstheme="minorHAnsi"/>
                <w:sz w:val="22"/>
                <w:lang w:val="en-IE"/>
              </w:rPr>
              <w:t>with lateral marks.</w:t>
            </w:r>
          </w:p>
        </w:tc>
      </w:tr>
      <w:tr w:rsidR="00EF0577" w:rsidRPr="00A951DD" w14:paraId="2B03AE3A" w14:textId="77777777" w:rsidTr="00FA5291">
        <w:trPr>
          <w:jc w:val="center"/>
        </w:trPr>
        <w:tc>
          <w:tcPr>
            <w:tcW w:w="2730" w:type="dxa"/>
          </w:tcPr>
          <w:p w14:paraId="53C11AAA" w14:textId="77777777" w:rsidR="00EF0577" w:rsidRPr="00A951DD" w:rsidRDefault="00EF0577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Top</w:t>
            </w:r>
            <w:r w:rsidR="00566453"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 w:rsidRPr="00A951DD">
              <w:rPr>
                <w:rFonts w:eastAsia="Times New Roman" w:cstheme="minorHAnsi"/>
                <w:sz w:val="22"/>
                <w:lang w:val="en-IE"/>
              </w:rPr>
              <w:t>mark</w:t>
            </w:r>
          </w:p>
        </w:tc>
        <w:tc>
          <w:tcPr>
            <w:tcW w:w="6763" w:type="dxa"/>
          </w:tcPr>
          <w:p w14:paraId="3228D6D5" w14:textId="77777777" w:rsidR="00D0451D" w:rsidRDefault="00DD727D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>Single yellow “X” shape.</w:t>
            </w:r>
          </w:p>
          <w:p w14:paraId="63C67282" w14:textId="77777777" w:rsidR="00D0451D" w:rsidRPr="00D0451D" w:rsidRDefault="00D0451D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</w:p>
          <w:p w14:paraId="4F23C9DB" w14:textId="77777777" w:rsidR="004D7282" w:rsidRPr="00D0451D" w:rsidRDefault="00EF0577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i/>
                <w:sz w:val="22"/>
                <w:lang w:val="en-IE"/>
              </w:rPr>
            </w:pPr>
            <w:r w:rsidRPr="00D0451D">
              <w:rPr>
                <w:rFonts w:eastAsia="Times New Roman" w:cstheme="minorHAnsi"/>
                <w:i/>
                <w:sz w:val="22"/>
                <w:lang w:val="en-IE"/>
              </w:rPr>
              <w:t xml:space="preserve">To increase conspicuity, and if practical, </w:t>
            </w:r>
            <w:r w:rsidR="0019610A">
              <w:rPr>
                <w:rFonts w:eastAsia="Times New Roman" w:cstheme="minorHAnsi"/>
                <w:i/>
                <w:sz w:val="22"/>
                <w:lang w:val="en-IE"/>
              </w:rPr>
              <w:t>the</w:t>
            </w:r>
            <w:r w:rsidRPr="00D0451D">
              <w:rPr>
                <w:rFonts w:eastAsia="Times New Roman" w:cstheme="minorHAnsi"/>
                <w:i/>
                <w:sz w:val="22"/>
                <w:lang w:val="en-IE"/>
              </w:rPr>
              <w:t xml:space="preserve"> top mark of a special mark should be used.</w:t>
            </w:r>
            <w:r w:rsidR="004D7282">
              <w:rPr>
                <w:rFonts w:eastAsia="Times New Roman" w:cstheme="minorHAnsi"/>
                <w:i/>
                <w:sz w:val="22"/>
                <w:lang w:val="en-IE"/>
              </w:rPr>
              <w:t xml:space="preserve">  </w:t>
            </w:r>
          </w:p>
        </w:tc>
      </w:tr>
      <w:tr w:rsidR="004D7282" w:rsidRPr="00A951DD" w14:paraId="49D7F658" w14:textId="77777777" w:rsidTr="00FA5291">
        <w:trPr>
          <w:jc w:val="center"/>
        </w:trPr>
        <w:tc>
          <w:tcPr>
            <w:tcW w:w="2730" w:type="dxa"/>
          </w:tcPr>
          <w:p w14:paraId="473FAE7A" w14:textId="77777777" w:rsidR="004D7282" w:rsidRPr="00A951DD" w:rsidRDefault="004D7282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>Additional marks</w:t>
            </w:r>
          </w:p>
        </w:tc>
        <w:tc>
          <w:tcPr>
            <w:tcW w:w="6763" w:type="dxa"/>
          </w:tcPr>
          <w:p w14:paraId="71155C21" w14:textId="77777777" w:rsidR="004D7282" w:rsidRPr="00FA5291" w:rsidRDefault="004D7282" w:rsidP="004D7282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FA5291">
              <w:rPr>
                <w:rFonts w:eastAsia="Times New Roman" w:cstheme="minorHAnsi"/>
                <w:sz w:val="22"/>
                <w:lang w:val="en-IE"/>
              </w:rPr>
              <w:t xml:space="preserve">For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hazards 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wi</w:t>
            </w:r>
            <w:r>
              <w:rPr>
                <w:rFonts w:eastAsia="Times New Roman" w:cstheme="minorHAnsi"/>
                <w:sz w:val="22"/>
                <w:lang w:val="en-IE"/>
              </w:rPr>
              <w:t>th low profile/partly submerged</w:t>
            </w:r>
            <w:r w:rsidR="00566453"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and where 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visual observation</w:t>
            </w:r>
            <w:r>
              <w:rPr>
                <w:rFonts w:eastAsia="Times New Roman" w:cstheme="minorHAnsi"/>
                <w:sz w:val="22"/>
                <w:lang w:val="en-IE"/>
              </w:rPr>
              <w:t>s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are primarily 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undertaken from the air</w:t>
            </w:r>
            <w:r>
              <w:rPr>
                <w:rFonts w:eastAsia="Times New Roman" w:cstheme="minorHAnsi"/>
                <w:sz w:val="22"/>
                <w:lang w:val="en-IE"/>
              </w:rPr>
              <w:t>, an additional mark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, like a circular symbol</w:t>
            </w:r>
            <w:r>
              <w:rPr>
                <w:rFonts w:eastAsia="Times New Roman" w:cstheme="minorHAnsi"/>
                <w:sz w:val="22"/>
                <w:lang w:val="en-IE"/>
              </w:rPr>
              <w:t>, can be added, if practicable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.</w:t>
            </w:r>
          </w:p>
          <w:p w14:paraId="5B7C47B6" w14:textId="77777777" w:rsidR="004D7282" w:rsidRDefault="004D7282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</w:p>
        </w:tc>
      </w:tr>
      <w:tr w:rsidR="00C57A65" w:rsidRPr="00A951DD" w14:paraId="09C673AE" w14:textId="77777777" w:rsidTr="00FA5291">
        <w:trPr>
          <w:jc w:val="center"/>
        </w:trPr>
        <w:tc>
          <w:tcPr>
            <w:tcW w:w="2730" w:type="dxa"/>
          </w:tcPr>
          <w:p w14:paraId="7D127704" w14:textId="77777777" w:rsidR="00C57A65" w:rsidRDefault="00C57A65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>Position sensor</w:t>
            </w:r>
          </w:p>
        </w:tc>
        <w:tc>
          <w:tcPr>
            <w:tcW w:w="6763" w:type="dxa"/>
          </w:tcPr>
          <w:p w14:paraId="486CC79E" w14:textId="77777777" w:rsidR="00F4537C" w:rsidRDefault="00F4537C" w:rsidP="004D7282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 xml:space="preserve">If AIS is used, the Electronic Position Fixing System (EPFS) in use, </w:t>
            </w:r>
            <w:r w:rsidR="005609AE">
              <w:rPr>
                <w:rFonts w:eastAsia="Times New Roman" w:cstheme="minorHAnsi"/>
                <w:sz w:val="22"/>
                <w:lang w:val="en-IE"/>
              </w:rPr>
              <w:t xml:space="preserve">must be in accordance with </w:t>
            </w:r>
            <w:r w:rsidR="004731AD">
              <w:rPr>
                <w:rFonts w:eastAsia="Times New Roman" w:cstheme="minorHAnsi"/>
                <w:sz w:val="22"/>
                <w:lang w:val="en-IE"/>
              </w:rPr>
              <w:t xml:space="preserve">the latest version of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ITU-R M.1371 </w:t>
            </w:r>
            <w:r w:rsidR="005609AE">
              <w:rPr>
                <w:rFonts w:eastAsia="Times New Roman" w:cstheme="minorHAnsi"/>
                <w:sz w:val="22"/>
                <w:lang w:val="en-IE"/>
              </w:rPr>
              <w:t xml:space="preserve">-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 w:rsidR="005609AE" w:rsidRPr="005609AE">
              <w:rPr>
                <w:rFonts w:eastAsia="Times New Roman" w:cstheme="minorHAnsi"/>
                <w:sz w:val="22"/>
                <w:lang w:val="en-IE"/>
              </w:rPr>
              <w:t>Technical characteristics for an automatic identification system using time division multiple access in the VHF maritime mobile frequency band</w:t>
            </w:r>
            <w:r w:rsidR="005609AE">
              <w:rPr>
                <w:rFonts w:eastAsia="Times New Roman" w:cstheme="minorHAnsi"/>
                <w:sz w:val="22"/>
                <w:lang w:val="en-IE"/>
              </w:rPr>
              <w:t>.</w:t>
            </w:r>
          </w:p>
          <w:p w14:paraId="1032D949" w14:textId="77777777" w:rsidR="00C57A65" w:rsidRPr="00FA5291" w:rsidRDefault="00C57A65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</w:p>
        </w:tc>
      </w:tr>
      <w:tr w:rsidR="00292679" w:rsidRPr="00A951DD" w14:paraId="5997922F" w14:textId="77777777" w:rsidTr="00FA5291">
        <w:trPr>
          <w:jc w:val="center"/>
        </w:trPr>
        <w:tc>
          <w:tcPr>
            <w:tcW w:w="2730" w:type="dxa"/>
            <w:shd w:val="clear" w:color="auto" w:fill="D9D9D9" w:themeFill="background1" w:themeFillShade="D9"/>
          </w:tcPr>
          <w:p w14:paraId="1D50897E" w14:textId="77777777" w:rsidR="00292679" w:rsidRPr="00A951DD" w:rsidRDefault="00292679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Light (</w:t>
            </w:r>
            <w:r w:rsidR="00F4537C">
              <w:rPr>
                <w:rFonts w:eastAsia="Times New Roman" w:cstheme="minorHAnsi"/>
                <w:sz w:val="22"/>
                <w:lang w:val="en-IE"/>
              </w:rPr>
              <w:t>if</w:t>
            </w:r>
            <w:r w:rsidR="00F4537C" w:rsidRPr="00A951DD"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 w:rsidRPr="00A951DD">
              <w:rPr>
                <w:rFonts w:eastAsia="Times New Roman" w:cstheme="minorHAnsi"/>
                <w:sz w:val="22"/>
                <w:lang w:val="en-IE"/>
              </w:rPr>
              <w:t>fitted)</w:t>
            </w:r>
          </w:p>
        </w:tc>
        <w:tc>
          <w:tcPr>
            <w:tcW w:w="6763" w:type="dxa"/>
            <w:shd w:val="clear" w:color="auto" w:fill="D9D9D9" w:themeFill="background1" w:themeFillShade="D9"/>
          </w:tcPr>
          <w:p w14:paraId="35B771DA" w14:textId="77777777" w:rsidR="00292679" w:rsidRPr="00A951DD" w:rsidRDefault="00292679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</w:p>
        </w:tc>
      </w:tr>
      <w:tr w:rsidR="00292679" w:rsidRPr="00A951DD" w14:paraId="503DBE2E" w14:textId="77777777" w:rsidTr="00FA5291">
        <w:trPr>
          <w:jc w:val="center"/>
        </w:trPr>
        <w:tc>
          <w:tcPr>
            <w:tcW w:w="2730" w:type="dxa"/>
          </w:tcPr>
          <w:p w14:paraId="26CFF4AF" w14:textId="77777777" w:rsidR="00292679" w:rsidRPr="00A951DD" w:rsidRDefault="00DD727D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 xml:space="preserve">Colour </w:t>
            </w:r>
          </w:p>
        </w:tc>
        <w:tc>
          <w:tcPr>
            <w:tcW w:w="6763" w:type="dxa"/>
          </w:tcPr>
          <w:p w14:paraId="12EAAEBA" w14:textId="77777777" w:rsidR="00292679" w:rsidRPr="00A951DD" w:rsidRDefault="00292679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Yellow</w:t>
            </w:r>
          </w:p>
        </w:tc>
      </w:tr>
      <w:tr w:rsidR="00292679" w:rsidRPr="00A951DD" w14:paraId="6E2B6D8A" w14:textId="77777777" w:rsidTr="002C5776">
        <w:trPr>
          <w:jc w:val="center"/>
        </w:trPr>
        <w:tc>
          <w:tcPr>
            <w:tcW w:w="2730" w:type="dxa"/>
          </w:tcPr>
          <w:p w14:paraId="6BB5D5C8" w14:textId="77777777" w:rsidR="00292679" w:rsidRPr="00A951DD" w:rsidRDefault="00292679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Rhythm</w:t>
            </w:r>
          </w:p>
        </w:tc>
        <w:tc>
          <w:tcPr>
            <w:tcW w:w="6763" w:type="dxa"/>
            <w:shd w:val="clear" w:color="auto" w:fill="auto"/>
          </w:tcPr>
          <w:p w14:paraId="39D74926" w14:textId="77777777" w:rsidR="00F4537C" w:rsidRPr="002C5776" w:rsidRDefault="00CC43E7" w:rsidP="009D5B4F">
            <w:pPr>
              <w:autoSpaceDE w:val="0"/>
              <w:autoSpaceDN w:val="0"/>
              <w:adjustRightInd w:val="0"/>
              <w:rPr>
                <w:rFonts w:cstheme="minorHAnsi"/>
                <w:sz w:val="22"/>
              </w:rPr>
            </w:pPr>
            <w:r w:rsidRPr="002C5776">
              <w:rPr>
                <w:rFonts w:cstheme="minorHAnsi"/>
                <w:sz w:val="22"/>
              </w:rPr>
              <w:t xml:space="preserve">Flicker 1s </w:t>
            </w:r>
            <w:r w:rsidR="00435F4A" w:rsidRPr="002C5776">
              <w:rPr>
                <w:rFonts w:cstheme="minorHAnsi"/>
                <w:sz w:val="22"/>
              </w:rPr>
              <w:t xml:space="preserve">(5 Hz) </w:t>
            </w:r>
            <w:r w:rsidRPr="002C5776">
              <w:rPr>
                <w:rFonts w:cstheme="minorHAnsi"/>
                <w:sz w:val="22"/>
              </w:rPr>
              <w:t xml:space="preserve">Eclipse 0.7s Flicker 1s </w:t>
            </w:r>
            <w:r w:rsidR="00435F4A" w:rsidRPr="002C5776">
              <w:rPr>
                <w:rFonts w:cstheme="minorHAnsi"/>
                <w:sz w:val="22"/>
              </w:rPr>
              <w:t xml:space="preserve">(5Hz) </w:t>
            </w:r>
            <w:r w:rsidRPr="002C5776">
              <w:rPr>
                <w:rFonts w:cstheme="minorHAnsi"/>
                <w:sz w:val="22"/>
              </w:rPr>
              <w:t>Eclipse 0.5s Fl 1s Eclipse 0.5s Fl 1s Eclipse 3s</w:t>
            </w:r>
            <w:r w:rsidR="00566453" w:rsidRPr="002C5776">
              <w:rPr>
                <w:rFonts w:cstheme="minorHAnsi"/>
                <w:sz w:val="22"/>
              </w:rPr>
              <w:t>.</w:t>
            </w:r>
          </w:p>
          <w:p w14:paraId="131E1B70" w14:textId="77777777" w:rsidR="009D5B4F" w:rsidRDefault="00435F4A" w:rsidP="00704658">
            <w:pPr>
              <w:autoSpaceDE w:val="0"/>
              <w:autoSpaceDN w:val="0"/>
              <w:adjustRightInd w:val="0"/>
              <w:rPr>
                <w:ins w:id="44" w:author="Tom Southall" w:date="2020-03-26T15:37:00Z"/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Nominal</w:t>
            </w:r>
            <w:r w:rsidR="00CC43E7" w:rsidRPr="002C5776">
              <w:rPr>
                <w:rFonts w:cstheme="minorHAnsi"/>
                <w:sz w:val="22"/>
              </w:rPr>
              <w:t xml:space="preserve"> range 3</w:t>
            </w:r>
            <w:r>
              <w:rPr>
                <w:rFonts w:cstheme="minorHAnsi"/>
                <w:sz w:val="22"/>
              </w:rPr>
              <w:t xml:space="preserve"> nm. </w:t>
            </w:r>
            <w:ins w:id="45" w:author="Tom Southall" w:date="2020-03-26T15:38:00Z">
              <w:r w:rsidR="00162649">
                <w:rPr>
                  <w:rFonts w:cstheme="minorHAnsi"/>
                  <w:sz w:val="22"/>
                </w:rPr>
                <w:t xml:space="preserve">24 </w:t>
              </w:r>
            </w:ins>
            <w:commentRangeStart w:id="46"/>
            <w:ins w:id="47" w:author="Tom Southall" w:date="2020-03-26T15:39:00Z">
              <w:r w:rsidR="00C769E7">
                <w:rPr>
                  <w:rFonts w:cstheme="minorHAnsi"/>
                  <w:sz w:val="22"/>
                </w:rPr>
                <w:t>hours</w:t>
              </w:r>
            </w:ins>
            <w:commentRangeEnd w:id="46"/>
            <w:r w:rsidR="00DC7360">
              <w:rPr>
                <w:rStyle w:val="CommentReference"/>
              </w:rPr>
              <w:commentReference w:id="46"/>
            </w:r>
            <w:ins w:id="48" w:author="Tom Southall" w:date="2020-03-26T15:39:00Z">
              <w:r w:rsidR="00C769E7">
                <w:rPr>
                  <w:rFonts w:cstheme="minorHAnsi"/>
                  <w:sz w:val="22"/>
                </w:rPr>
                <w:t xml:space="preserve"> (?)</w:t>
              </w:r>
            </w:ins>
          </w:p>
          <w:p w14:paraId="366FFFAE" w14:textId="77777777" w:rsidR="00CB0501" w:rsidRDefault="00CB0501" w:rsidP="00704658">
            <w:pPr>
              <w:autoSpaceDE w:val="0"/>
              <w:autoSpaceDN w:val="0"/>
              <w:adjustRightInd w:val="0"/>
              <w:rPr>
                <w:ins w:id="49" w:author="Tom Southall" w:date="2020-03-26T15:37:00Z"/>
                <w:rFonts w:cstheme="minorHAnsi"/>
                <w:sz w:val="22"/>
              </w:rPr>
            </w:pPr>
          </w:p>
          <w:p w14:paraId="01B09406" w14:textId="77777777" w:rsidR="00CB0501" w:rsidRPr="00704658" w:rsidRDefault="00CB0501" w:rsidP="00CB0501">
            <w:pPr>
              <w:autoSpaceDE w:val="0"/>
              <w:autoSpaceDN w:val="0"/>
              <w:adjustRightInd w:val="0"/>
              <w:rPr>
                <w:rFonts w:cstheme="minorHAnsi"/>
                <w:sz w:val="22"/>
              </w:rPr>
            </w:pPr>
            <w:ins w:id="50" w:author="Tom Southall" w:date="2020-03-26T15:37:00Z">
              <w:r>
                <w:rPr>
                  <w:rFonts w:cstheme="minorHAnsi"/>
                  <w:sz w:val="22"/>
                </w:rPr>
                <w:t xml:space="preserve">[From Oleg </w:t>
              </w:r>
            </w:ins>
            <w:ins w:id="51" w:author="Tom Southall" w:date="2020-03-26T15:38:00Z">
              <w:r>
                <w:rPr>
                  <w:rFonts w:cstheme="minorHAnsi"/>
                  <w:sz w:val="22"/>
                </w:rPr>
                <w:t>Highday:</w:t>
              </w:r>
              <w:r w:rsidR="005F19EC">
                <w:rPr>
                  <w:rFonts w:cstheme="minorHAnsi"/>
                  <w:sz w:val="22"/>
                </w:rPr>
                <w:t xml:space="preserve"> </w:t>
              </w:r>
              <w:r w:rsidRPr="00DC7360">
                <w:rPr>
                  <w:rFonts w:cstheme="minorHAnsi"/>
                  <w:sz w:val="22"/>
                </w:rPr>
                <w:t>Argentina suggested 24 hours using for Light of MAtoN.</w:t>
              </w:r>
              <w:r w:rsidR="005F19EC" w:rsidRPr="00DC7360">
                <w:rPr>
                  <w:rFonts w:cstheme="minorHAnsi"/>
                  <w:sz w:val="22"/>
                </w:rPr>
                <w:t>]</w:t>
              </w:r>
            </w:ins>
          </w:p>
        </w:tc>
      </w:tr>
    </w:tbl>
    <w:p w14:paraId="13162C4B" w14:textId="77777777" w:rsidR="00A53B2D" w:rsidRPr="00A951DD" w:rsidRDefault="00A53B2D" w:rsidP="00915F7E">
      <w:pPr>
        <w:autoSpaceDE w:val="0"/>
        <w:autoSpaceDN w:val="0"/>
        <w:adjustRightInd w:val="0"/>
        <w:rPr>
          <w:rFonts w:eastAsia="Times New Roman" w:cstheme="minorHAnsi"/>
          <w:sz w:val="22"/>
          <w:lang w:val="en-IE"/>
        </w:rPr>
      </w:pPr>
    </w:p>
    <w:p w14:paraId="54ADE5AD" w14:textId="77777777" w:rsidR="009A0C10" w:rsidRPr="00DC7360" w:rsidRDefault="00E665BC" w:rsidP="00DC7360">
      <w:pPr>
        <w:pStyle w:val="BodyText"/>
        <w:rPr>
          <w:lang w:eastAsia="de-DE"/>
        </w:rPr>
      </w:pPr>
      <w:r w:rsidRPr="00DC7360">
        <w:rPr>
          <w:lang w:eastAsia="de-DE"/>
        </w:rPr>
        <w:t xml:space="preserve">Additional </w:t>
      </w:r>
      <w:r w:rsidR="009A0C10" w:rsidRPr="00DC7360">
        <w:rPr>
          <w:lang w:eastAsia="de-DE"/>
        </w:rPr>
        <w:t>considerations:</w:t>
      </w:r>
    </w:p>
    <w:p w14:paraId="2E511309" w14:textId="77777777" w:rsidR="00566453" w:rsidRPr="00FA5291" w:rsidRDefault="00566453" w:rsidP="00FA5291">
      <w:pPr>
        <w:pStyle w:val="ListParagraph"/>
        <w:autoSpaceDE w:val="0"/>
        <w:autoSpaceDN w:val="0"/>
        <w:adjustRightInd w:val="0"/>
        <w:ind w:left="1068"/>
        <w:rPr>
          <w:rFonts w:eastAsia="Times New Roman" w:cstheme="minorHAnsi"/>
          <w:lang w:val="en-IE"/>
        </w:rPr>
      </w:pPr>
    </w:p>
    <w:p w14:paraId="77541D67" w14:textId="77777777" w:rsidR="005E30D2" w:rsidRPr="00DC7360" w:rsidRDefault="00A53B2D" w:rsidP="00DC7360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DC7360">
        <w:rPr>
          <w:lang w:eastAsia="de-DE"/>
        </w:rPr>
        <w:t xml:space="preserve">Radar reflectors - </w:t>
      </w:r>
      <w:r w:rsidR="00566453" w:rsidRPr="00DC7360">
        <w:rPr>
          <w:lang w:eastAsia="de-DE"/>
        </w:rPr>
        <w:t>t</w:t>
      </w:r>
      <w:r w:rsidRPr="00DC7360">
        <w:rPr>
          <w:lang w:eastAsia="de-DE"/>
        </w:rPr>
        <w:t xml:space="preserve">o increase radar conspicuity, and if practical, a radar reflector should be </w:t>
      </w:r>
      <w:r w:rsidR="00566453" w:rsidRPr="00DC7360">
        <w:rPr>
          <w:lang w:eastAsia="de-DE"/>
        </w:rPr>
        <w:t>installed.</w:t>
      </w:r>
    </w:p>
    <w:p w14:paraId="70F8F027" w14:textId="77777777" w:rsidR="00845A44" w:rsidRPr="00DC7360" w:rsidRDefault="00845A44" w:rsidP="00DC7360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DC7360">
        <w:rPr>
          <w:lang w:eastAsia="de-DE"/>
        </w:rPr>
        <w:t>Reflective markings</w:t>
      </w:r>
      <w:r w:rsidR="00566453" w:rsidRPr="00DC7360">
        <w:rPr>
          <w:lang w:eastAsia="de-DE"/>
        </w:rPr>
        <w:t xml:space="preserve">, if any, should be </w:t>
      </w:r>
      <w:r w:rsidR="00DB2CA8" w:rsidRPr="00DC7360">
        <w:rPr>
          <w:lang w:eastAsia="de-DE"/>
        </w:rPr>
        <w:t xml:space="preserve">in accordance with </w:t>
      </w:r>
      <w:r w:rsidR="00F4537C" w:rsidRPr="00DC7360">
        <w:rPr>
          <w:lang w:eastAsia="de-DE"/>
        </w:rPr>
        <w:t xml:space="preserve">IALA Recommendation </w:t>
      </w:r>
      <w:r w:rsidR="00DB2CA8" w:rsidRPr="00DC7360">
        <w:rPr>
          <w:lang w:eastAsia="de-DE"/>
        </w:rPr>
        <w:t>R0106 on Retro</w:t>
      </w:r>
      <w:r w:rsidR="00E762A7" w:rsidRPr="00DC7360">
        <w:rPr>
          <w:lang w:eastAsia="de-DE"/>
        </w:rPr>
        <w:t>-</w:t>
      </w:r>
      <w:r w:rsidR="00DB2CA8" w:rsidRPr="00DC7360">
        <w:rPr>
          <w:lang w:eastAsia="de-DE"/>
        </w:rPr>
        <w:t>reflecting material</w:t>
      </w:r>
      <w:r w:rsidR="00566453" w:rsidRPr="00DC7360">
        <w:rPr>
          <w:lang w:eastAsia="de-DE"/>
        </w:rPr>
        <w:t>.</w:t>
      </w:r>
    </w:p>
    <w:p w14:paraId="1921EC33" w14:textId="77777777"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456F26E3" w14:textId="77777777" w:rsidR="00845A44" w:rsidRPr="007507EF" w:rsidRDefault="00845A44" w:rsidP="00B50D67">
      <w:pPr>
        <w:pStyle w:val="Heading2"/>
      </w:pPr>
      <w:bookmarkStart w:id="52" w:name="_Toc496681975"/>
      <w:bookmarkStart w:id="53" w:name="_Toc496682142"/>
      <w:bookmarkStart w:id="54" w:name="_Toc496681976"/>
      <w:bookmarkStart w:id="55" w:name="_Toc496682143"/>
      <w:bookmarkStart w:id="56" w:name="_Toc496681977"/>
      <w:bookmarkStart w:id="57" w:name="_Toc496682144"/>
      <w:bookmarkStart w:id="58" w:name="_Toc496681978"/>
      <w:bookmarkStart w:id="59" w:name="_Toc496682145"/>
      <w:bookmarkStart w:id="60" w:name="_Toc496681979"/>
      <w:bookmarkStart w:id="61" w:name="_Toc496682146"/>
      <w:bookmarkStart w:id="62" w:name="_Toc449013354"/>
      <w:bookmarkStart w:id="63" w:name="_Toc36129794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7507EF">
        <w:t>Virtual</w:t>
      </w:r>
      <w:r w:rsidR="00C92940">
        <w:t xml:space="preserve"> </w:t>
      </w:r>
      <w:bookmarkEnd w:id="62"/>
      <w:r w:rsidR="00BE57F6">
        <w:t>M</w:t>
      </w:r>
      <w:r w:rsidR="00E3798E">
        <w:t>A</w:t>
      </w:r>
      <w:r w:rsidR="002C7A34">
        <w:t>to</w:t>
      </w:r>
      <w:r w:rsidR="00E3798E">
        <w:t>N</w:t>
      </w:r>
      <w:bookmarkEnd w:id="63"/>
    </w:p>
    <w:p w14:paraId="54339B72" w14:textId="77777777" w:rsidR="00E762A7" w:rsidRDefault="005F3A6E" w:rsidP="009F1370">
      <w:pPr>
        <w:pStyle w:val="BodyText"/>
        <w:rPr>
          <w:lang w:eastAsia="de-DE"/>
        </w:rPr>
      </w:pPr>
      <w:r>
        <w:rPr>
          <w:lang w:eastAsia="de-DE"/>
        </w:rPr>
        <w:t>A</w:t>
      </w:r>
      <w:r w:rsidR="00714173">
        <w:rPr>
          <w:lang w:eastAsia="de-DE"/>
        </w:rPr>
        <w:t xml:space="preserve"> virtual MAtoN electronically mark </w:t>
      </w:r>
      <w:r w:rsidR="005277C1">
        <w:rPr>
          <w:lang w:eastAsia="de-DE"/>
        </w:rPr>
        <w:t xml:space="preserve">a </w:t>
      </w:r>
      <w:r w:rsidR="00714173">
        <w:rPr>
          <w:lang w:eastAsia="de-DE"/>
        </w:rPr>
        <w:t>hazard using</w:t>
      </w:r>
      <w:r w:rsidR="00E762A7">
        <w:rPr>
          <w:lang w:eastAsia="de-DE"/>
        </w:rPr>
        <w:t xml:space="preserve"> a</w:t>
      </w:r>
      <w:r w:rsidR="00D91D6C">
        <w:rPr>
          <w:lang w:eastAsia="de-DE"/>
        </w:rPr>
        <w:t>n</w:t>
      </w:r>
      <w:r w:rsidR="00E762A7">
        <w:rPr>
          <w:lang w:eastAsia="de-DE"/>
        </w:rPr>
        <w:t xml:space="preserve"> AIS </w:t>
      </w:r>
      <w:r w:rsidR="00566453">
        <w:rPr>
          <w:lang w:eastAsia="de-DE"/>
        </w:rPr>
        <w:t>Virtual AtoN message</w:t>
      </w:r>
      <w:r w:rsidR="00E762A7">
        <w:rPr>
          <w:lang w:eastAsia="de-DE"/>
        </w:rPr>
        <w:t xml:space="preserve">. </w:t>
      </w:r>
    </w:p>
    <w:p w14:paraId="5ADF3B1B" w14:textId="77777777" w:rsidR="009F1370" w:rsidRPr="000D47AF" w:rsidRDefault="00E762A7" w:rsidP="00BD2570">
      <w:pPr>
        <w:pStyle w:val="BodyText"/>
        <w:rPr>
          <w:rFonts w:eastAsia="Times New Roman" w:cstheme="minorHAnsi"/>
          <w:highlight w:val="yellow"/>
          <w:lang w:val="en-IE"/>
        </w:rPr>
      </w:pPr>
      <w:r>
        <w:rPr>
          <w:lang w:eastAsia="de-DE"/>
        </w:rPr>
        <w:lastRenderedPageBreak/>
        <w:t>A virtual MAtoN</w:t>
      </w:r>
      <w:r w:rsidR="005F3A6E">
        <w:rPr>
          <w:lang w:eastAsia="de-DE"/>
        </w:rPr>
        <w:t xml:space="preserve"> should</w:t>
      </w:r>
      <w:r>
        <w:rPr>
          <w:lang w:eastAsia="de-DE"/>
        </w:rPr>
        <w:t xml:space="preserve"> only be used when </w:t>
      </w:r>
      <w:r w:rsidR="00D91D6C">
        <w:rPr>
          <w:lang w:eastAsia="de-DE"/>
        </w:rPr>
        <w:t>there is</w:t>
      </w:r>
      <w:r w:rsidR="005F3A6E">
        <w:rPr>
          <w:lang w:eastAsia="de-DE"/>
        </w:rPr>
        <w:t xml:space="preserve"> capability </w:t>
      </w:r>
      <w:r w:rsidR="00D91D6C">
        <w:rPr>
          <w:lang w:eastAsia="de-DE"/>
        </w:rPr>
        <w:t xml:space="preserve">to </w:t>
      </w:r>
      <w:r w:rsidR="004731AD">
        <w:rPr>
          <w:lang w:eastAsia="de-DE"/>
        </w:rPr>
        <w:t xml:space="preserve">automatically </w:t>
      </w:r>
      <w:r w:rsidR="00D91D6C">
        <w:rPr>
          <w:lang w:eastAsia="de-DE"/>
        </w:rPr>
        <w:t>update the</w:t>
      </w:r>
      <w:r w:rsidR="005F3A6E">
        <w:rPr>
          <w:lang w:eastAsia="de-DE"/>
        </w:rPr>
        <w:t xml:space="preserve"> position</w:t>
      </w:r>
      <w:r w:rsidR="00714173" w:rsidRPr="00714173">
        <w:rPr>
          <w:lang w:eastAsia="de-DE"/>
        </w:rPr>
        <w:t xml:space="preserve"> </w:t>
      </w:r>
      <w:r w:rsidR="00714173">
        <w:rPr>
          <w:lang w:eastAsia="de-DE"/>
        </w:rPr>
        <w:t>of the hazard</w:t>
      </w:r>
      <w:r>
        <w:rPr>
          <w:lang w:eastAsia="de-DE"/>
        </w:rPr>
        <w:t xml:space="preserve"> in</w:t>
      </w:r>
      <w:r w:rsidR="00714173">
        <w:rPr>
          <w:lang w:eastAsia="de-DE"/>
        </w:rPr>
        <w:t>,</w:t>
      </w:r>
      <w:r>
        <w:rPr>
          <w:lang w:eastAsia="de-DE"/>
        </w:rPr>
        <w:t xml:space="preserve"> or near</w:t>
      </w:r>
      <w:r w:rsidR="00714173">
        <w:rPr>
          <w:lang w:eastAsia="de-DE"/>
        </w:rPr>
        <w:t>,</w:t>
      </w:r>
      <w:r>
        <w:rPr>
          <w:lang w:eastAsia="de-DE"/>
        </w:rPr>
        <w:t xml:space="preserve"> </w:t>
      </w:r>
      <w:r w:rsidR="00714173">
        <w:rPr>
          <w:lang w:eastAsia="de-DE"/>
        </w:rPr>
        <w:t xml:space="preserve">real time. </w:t>
      </w:r>
      <w:r w:rsidR="001C7E40">
        <w:rPr>
          <w:lang w:eastAsia="de-DE"/>
        </w:rPr>
        <w:t xml:space="preserve">The </w:t>
      </w:r>
      <w:r w:rsidR="00D91D6C">
        <w:rPr>
          <w:lang w:eastAsia="de-DE"/>
        </w:rPr>
        <w:t xml:space="preserve">update </w:t>
      </w:r>
      <w:r w:rsidR="001C7E40">
        <w:rPr>
          <w:lang w:eastAsia="de-DE"/>
        </w:rPr>
        <w:t>rate should be equal</w:t>
      </w:r>
      <w:r w:rsidR="005277C1">
        <w:rPr>
          <w:lang w:eastAsia="de-DE"/>
        </w:rPr>
        <w:t xml:space="preserve"> to</w:t>
      </w:r>
      <w:r w:rsidR="001C7E40">
        <w:rPr>
          <w:lang w:eastAsia="de-DE"/>
        </w:rPr>
        <w:t xml:space="preserve"> or better than the physical AIS AtoN </w:t>
      </w:r>
      <w:r w:rsidR="005277C1">
        <w:rPr>
          <w:lang w:eastAsia="de-DE"/>
        </w:rPr>
        <w:t xml:space="preserve">transmission rate, </w:t>
      </w:r>
      <w:r w:rsidR="00976E11">
        <w:t>typically no more than 3 minutes</w:t>
      </w:r>
      <w:r w:rsidR="001C7E40">
        <w:rPr>
          <w:lang w:eastAsia="de-DE"/>
        </w:rPr>
        <w:t>.</w:t>
      </w:r>
      <w:r w:rsidR="00976E11">
        <w:rPr>
          <w:lang w:eastAsia="de-DE"/>
        </w:rPr>
        <w:t xml:space="preserve"> By no means should a virtual MAtoN position </w:t>
      </w:r>
      <w:r w:rsidR="00DF6865">
        <w:rPr>
          <w:lang w:eastAsia="de-DE"/>
        </w:rPr>
        <w:t xml:space="preserve">be updated </w:t>
      </w:r>
      <w:r w:rsidR="00976E11">
        <w:rPr>
          <w:lang w:eastAsia="de-DE"/>
        </w:rPr>
        <w:t xml:space="preserve">by </w:t>
      </w:r>
      <w:r w:rsidR="00DF6865">
        <w:rPr>
          <w:lang w:eastAsia="de-DE"/>
        </w:rPr>
        <w:t>estimation of the hazard</w:t>
      </w:r>
      <w:r w:rsidR="001C2518">
        <w:rPr>
          <w:lang w:eastAsia="de-DE"/>
        </w:rPr>
        <w:t>’</w:t>
      </w:r>
      <w:r w:rsidR="00DF6865">
        <w:rPr>
          <w:lang w:eastAsia="de-DE"/>
        </w:rPr>
        <w:t>s position</w:t>
      </w:r>
      <w:r w:rsidR="005609AE">
        <w:rPr>
          <w:lang w:eastAsia="de-DE"/>
        </w:rPr>
        <w:t>.</w:t>
      </w:r>
    </w:p>
    <w:p w14:paraId="40EB5AB8" w14:textId="77777777" w:rsidR="00CB610E" w:rsidRDefault="00E762A7" w:rsidP="007338D9">
      <w:pPr>
        <w:pStyle w:val="BodyText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The use of </w:t>
      </w:r>
      <w:r w:rsidR="00214C5E">
        <w:rPr>
          <w:rFonts w:cstheme="minorHAnsi"/>
          <w:lang w:eastAsia="de-DE"/>
        </w:rPr>
        <w:t xml:space="preserve">Virtual MAtoN should be approved and strictly controlled by the </w:t>
      </w:r>
      <w:r w:rsidR="00A66025">
        <w:rPr>
          <w:rFonts w:cstheme="minorHAnsi"/>
          <w:lang w:eastAsia="de-DE"/>
        </w:rPr>
        <w:t>C</w:t>
      </w:r>
      <w:r w:rsidR="00214C5E">
        <w:rPr>
          <w:rFonts w:cstheme="minorHAnsi"/>
          <w:lang w:eastAsia="de-DE"/>
        </w:rPr>
        <w:t xml:space="preserve">ompetent </w:t>
      </w:r>
      <w:r w:rsidR="00A66025">
        <w:rPr>
          <w:rFonts w:cstheme="minorHAnsi"/>
          <w:lang w:eastAsia="de-DE"/>
        </w:rPr>
        <w:t>A</w:t>
      </w:r>
      <w:r w:rsidR="00214C5E">
        <w:rPr>
          <w:rFonts w:cstheme="minorHAnsi"/>
          <w:lang w:eastAsia="de-DE"/>
        </w:rPr>
        <w:t>uthority</w:t>
      </w:r>
      <w:r w:rsidR="005277C1">
        <w:rPr>
          <w:rFonts w:cstheme="minorHAnsi"/>
          <w:lang w:eastAsia="de-DE"/>
        </w:rPr>
        <w:t>. Virtual MatoN should be</w:t>
      </w:r>
      <w:r w:rsidR="00214C5E">
        <w:rPr>
          <w:rFonts w:cstheme="minorHAnsi"/>
          <w:lang w:eastAsia="de-DE"/>
        </w:rPr>
        <w:t xml:space="preserve"> implemented on the principles contained within</w:t>
      </w:r>
      <w:r w:rsidR="007338D9" w:rsidRPr="000D47AF">
        <w:rPr>
          <w:rFonts w:cstheme="minorHAnsi"/>
          <w:lang w:eastAsia="de-DE"/>
        </w:rPr>
        <w:t xml:space="preserve"> IALA Recommendation</w:t>
      </w:r>
      <w:r w:rsidR="000F4286">
        <w:rPr>
          <w:rFonts w:cstheme="minorHAnsi"/>
          <w:lang w:eastAsia="de-DE"/>
        </w:rPr>
        <w:t xml:space="preserve">s and Guidelines </w:t>
      </w:r>
      <w:r w:rsidR="007338D9" w:rsidRPr="000D47AF">
        <w:rPr>
          <w:rFonts w:cstheme="minorHAnsi"/>
          <w:lang w:eastAsia="de-DE"/>
        </w:rPr>
        <w:t>on Virtual Aids to Navigation</w:t>
      </w:r>
      <w:r w:rsidR="00DF6865">
        <w:rPr>
          <w:rFonts w:cstheme="minorHAnsi"/>
          <w:lang w:eastAsia="de-DE"/>
        </w:rPr>
        <w:t>.</w:t>
      </w:r>
    </w:p>
    <w:p w14:paraId="20040B81" w14:textId="77777777" w:rsidR="007338D9" w:rsidRPr="000D47AF" w:rsidRDefault="005110F4" w:rsidP="007338D9">
      <w:pPr>
        <w:pStyle w:val="BodyText"/>
        <w:rPr>
          <w:rFonts w:cstheme="minorHAnsi"/>
          <w:lang w:eastAsia="de-DE"/>
        </w:rPr>
      </w:pPr>
      <w:r w:rsidRPr="002C5776">
        <w:rPr>
          <w:rFonts w:cstheme="minorHAnsi"/>
          <w:lang w:eastAsia="de-DE"/>
        </w:rPr>
        <w:t>When using</w:t>
      </w:r>
      <w:r>
        <w:rPr>
          <w:rFonts w:cstheme="minorHAnsi"/>
          <w:lang w:eastAsia="de-DE"/>
        </w:rPr>
        <w:t xml:space="preserve"> virtual</w:t>
      </w:r>
      <w:r w:rsidRPr="002C5776">
        <w:rPr>
          <w:rFonts w:cstheme="minorHAnsi"/>
          <w:lang w:eastAsia="de-DE"/>
        </w:rPr>
        <w:t xml:space="preserve"> MAtoN</w:t>
      </w:r>
      <w:r w:rsidR="00620699">
        <w:rPr>
          <w:rFonts w:cstheme="minorHAnsi"/>
          <w:lang w:eastAsia="de-DE"/>
        </w:rPr>
        <w:t>,</w:t>
      </w:r>
      <w:r w:rsidRPr="002C5776">
        <w:rPr>
          <w:rFonts w:cstheme="minorHAnsi"/>
          <w:lang w:eastAsia="de-DE"/>
        </w:rPr>
        <w:t xml:space="preserve"> the </w:t>
      </w:r>
      <w:r w:rsidR="00A66025">
        <w:rPr>
          <w:rFonts w:cstheme="minorHAnsi"/>
          <w:lang w:eastAsia="de-DE"/>
        </w:rPr>
        <w:t>C</w:t>
      </w:r>
      <w:r w:rsidRPr="002C5776">
        <w:rPr>
          <w:rFonts w:cstheme="minorHAnsi"/>
          <w:lang w:eastAsia="de-DE"/>
        </w:rPr>
        <w:t xml:space="preserve">ompetent </w:t>
      </w:r>
      <w:r w:rsidR="00A66025">
        <w:rPr>
          <w:rFonts w:cstheme="minorHAnsi"/>
          <w:lang w:eastAsia="de-DE"/>
        </w:rPr>
        <w:t>A</w:t>
      </w:r>
      <w:r w:rsidRPr="002C5776">
        <w:rPr>
          <w:rFonts w:cstheme="minorHAnsi"/>
          <w:lang w:eastAsia="de-DE"/>
        </w:rPr>
        <w:t>uthority must also c</w:t>
      </w:r>
      <w:r w:rsidR="00CB610E" w:rsidRPr="002C5776">
        <w:rPr>
          <w:rFonts w:cstheme="minorHAnsi"/>
          <w:lang w:eastAsia="de-DE"/>
        </w:rPr>
        <w:t xml:space="preserve">onsider safety related messaging, </w:t>
      </w:r>
      <w:r w:rsidR="00566453" w:rsidRPr="002C5776">
        <w:rPr>
          <w:rFonts w:cstheme="minorHAnsi"/>
          <w:lang w:eastAsia="de-DE"/>
        </w:rPr>
        <w:t>g</w:t>
      </w:r>
      <w:r w:rsidR="00CB610E" w:rsidRPr="002C5776">
        <w:rPr>
          <w:rFonts w:cstheme="minorHAnsi"/>
          <w:lang w:eastAsia="de-DE"/>
        </w:rPr>
        <w:t>eofencing,</w:t>
      </w:r>
      <w:r>
        <w:rPr>
          <w:rFonts w:cstheme="minorHAnsi"/>
          <w:lang w:eastAsia="de-DE"/>
        </w:rPr>
        <w:t xml:space="preserve"> and </w:t>
      </w:r>
      <w:r w:rsidR="00CB610E" w:rsidRPr="002C5776">
        <w:rPr>
          <w:rFonts w:cstheme="minorHAnsi"/>
          <w:lang w:eastAsia="de-DE"/>
        </w:rPr>
        <w:t>updating of relevant M</w:t>
      </w:r>
      <w:r w:rsidR="00620699">
        <w:rPr>
          <w:rFonts w:cstheme="minorHAnsi"/>
          <w:lang w:eastAsia="de-DE"/>
        </w:rPr>
        <w:t>aritime Safety Information (M</w:t>
      </w:r>
      <w:r w:rsidR="00CB610E" w:rsidRPr="002C5776">
        <w:rPr>
          <w:rFonts w:cstheme="minorHAnsi"/>
          <w:lang w:eastAsia="de-DE"/>
        </w:rPr>
        <w:t>SI</w:t>
      </w:r>
      <w:r w:rsidR="00620699">
        <w:rPr>
          <w:rFonts w:cstheme="minorHAnsi"/>
          <w:lang w:eastAsia="de-DE"/>
        </w:rPr>
        <w:t>)</w:t>
      </w:r>
      <w:r w:rsidR="007338D9" w:rsidRPr="002C5776">
        <w:rPr>
          <w:rFonts w:cstheme="minorHAnsi"/>
          <w:lang w:eastAsia="de-DE"/>
        </w:rPr>
        <w:t>.</w:t>
      </w:r>
      <w:r w:rsidR="007338D9" w:rsidRPr="000D47AF">
        <w:rPr>
          <w:rFonts w:cstheme="minorHAnsi"/>
          <w:lang w:eastAsia="de-DE"/>
        </w:rPr>
        <w:t xml:space="preserve"> </w:t>
      </w:r>
    </w:p>
    <w:p w14:paraId="563A125A" w14:textId="77777777" w:rsidR="00845A44" w:rsidRPr="002C7A34" w:rsidRDefault="00A655C9" w:rsidP="002C7A34">
      <w:pPr>
        <w:pStyle w:val="Heading2"/>
      </w:pPr>
      <w:bookmarkStart w:id="64" w:name="_Toc36129795"/>
      <w:r w:rsidRPr="00892D50">
        <w:t xml:space="preserve">Programming </w:t>
      </w:r>
      <w:r w:rsidR="004A65E8" w:rsidRPr="002C7A34">
        <w:t>AIS M</w:t>
      </w:r>
      <w:r w:rsidR="001C7E40" w:rsidRPr="002C7A34">
        <w:t>A</w:t>
      </w:r>
      <w:r w:rsidR="002C7A34">
        <w:t>to</w:t>
      </w:r>
      <w:r w:rsidR="004A65E8" w:rsidRPr="002C7A34">
        <w:t>N</w:t>
      </w:r>
      <w:bookmarkEnd w:id="64"/>
    </w:p>
    <w:p w14:paraId="0CDEF345" w14:textId="77777777" w:rsidR="00144A11" w:rsidRPr="002C5776" w:rsidRDefault="00144A11" w:rsidP="00845A44">
      <w:pPr>
        <w:autoSpaceDE w:val="0"/>
        <w:autoSpaceDN w:val="0"/>
        <w:adjustRightInd w:val="0"/>
        <w:rPr>
          <w:rFonts w:eastAsia="Times New Roman" w:cs="Arial"/>
          <w:sz w:val="22"/>
          <w:lang w:val="en-IE"/>
        </w:rPr>
      </w:pPr>
      <w:r w:rsidRPr="002C5776">
        <w:rPr>
          <w:rFonts w:eastAsia="Times New Roman" w:cs="Arial"/>
          <w:sz w:val="22"/>
          <w:lang w:val="en-IE"/>
        </w:rPr>
        <w:t xml:space="preserve">An AIS MAtoN is considered to be an </w:t>
      </w:r>
      <w:r w:rsidR="00D302DD">
        <w:rPr>
          <w:rFonts w:eastAsia="Times New Roman" w:cs="Arial"/>
          <w:sz w:val="22"/>
          <w:lang w:val="en-IE"/>
        </w:rPr>
        <w:t xml:space="preserve">AIS </w:t>
      </w:r>
      <w:r w:rsidRPr="002C5776">
        <w:rPr>
          <w:rFonts w:eastAsia="Times New Roman" w:cs="Arial"/>
          <w:sz w:val="22"/>
          <w:lang w:val="en-IE"/>
        </w:rPr>
        <w:t>AtoN</w:t>
      </w:r>
      <w:r w:rsidR="00D302DD">
        <w:rPr>
          <w:rFonts w:eastAsia="Times New Roman" w:cs="Arial"/>
          <w:sz w:val="22"/>
          <w:lang w:val="en-IE"/>
        </w:rPr>
        <w:t xml:space="preserve"> and will </w:t>
      </w:r>
      <w:r w:rsidR="00A201DE" w:rsidRPr="002C5776">
        <w:rPr>
          <w:rFonts w:eastAsia="Times New Roman" w:cs="Arial"/>
          <w:sz w:val="22"/>
          <w:lang w:val="en-IE"/>
        </w:rPr>
        <w:t>broadcast AIS Message 21</w:t>
      </w:r>
      <w:r w:rsidR="00620699">
        <w:rPr>
          <w:rFonts w:eastAsia="Times New Roman" w:cs="Arial"/>
          <w:sz w:val="22"/>
          <w:lang w:val="en-IE"/>
        </w:rPr>
        <w:t xml:space="preserve"> (Aids to Navigation Message)</w:t>
      </w:r>
      <w:r w:rsidR="00D302DD">
        <w:rPr>
          <w:rFonts w:eastAsia="Times New Roman" w:cs="Arial"/>
          <w:sz w:val="22"/>
          <w:lang w:val="en-IE"/>
        </w:rPr>
        <w:t xml:space="preserve">. It should be </w:t>
      </w:r>
      <w:r w:rsidR="001F7761" w:rsidRPr="002C5776">
        <w:rPr>
          <w:rFonts w:eastAsia="Times New Roman" w:cs="Arial"/>
          <w:sz w:val="22"/>
          <w:lang w:val="en-IE"/>
        </w:rPr>
        <w:t>programmed using the codin</w:t>
      </w:r>
      <w:r w:rsidRPr="002C5776">
        <w:rPr>
          <w:rFonts w:eastAsia="Times New Roman" w:cs="Arial"/>
          <w:sz w:val="22"/>
          <w:lang w:val="en-IE"/>
        </w:rPr>
        <w:t xml:space="preserve">g information prescribed in </w:t>
      </w:r>
      <w:r w:rsidR="00C92940" w:rsidRPr="002C5776">
        <w:rPr>
          <w:rFonts w:eastAsia="Times New Roman" w:cs="Arial"/>
          <w:sz w:val="22"/>
          <w:lang w:val="en-IE"/>
        </w:rPr>
        <w:t xml:space="preserve">the latest version of </w:t>
      </w:r>
      <w:r w:rsidR="00A201DE" w:rsidRPr="002C5776">
        <w:rPr>
          <w:rFonts w:eastAsia="Times New Roman" w:cs="Arial"/>
          <w:sz w:val="22"/>
          <w:lang w:val="en-IE"/>
        </w:rPr>
        <w:t>ITU-R M.1371</w:t>
      </w:r>
      <w:r w:rsidR="00C92940" w:rsidRPr="002C5776">
        <w:rPr>
          <w:rFonts w:eastAsia="Times New Roman" w:cs="Arial"/>
          <w:sz w:val="22"/>
          <w:lang w:val="en-IE"/>
        </w:rPr>
        <w:t xml:space="preserve">. </w:t>
      </w:r>
      <w:r w:rsidR="00A201DE" w:rsidRPr="002C5776">
        <w:rPr>
          <w:rFonts w:eastAsia="Times New Roman" w:cs="Arial"/>
          <w:sz w:val="22"/>
          <w:lang w:val="en-IE"/>
        </w:rPr>
        <w:t xml:space="preserve"> </w:t>
      </w:r>
    </w:p>
    <w:p w14:paraId="6027591C" w14:textId="77777777" w:rsidR="00144A11" w:rsidRPr="00C82918" w:rsidRDefault="00144A11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14:paraId="6092661B" w14:textId="77777777" w:rsidR="00144A11" w:rsidRPr="00FA5291" w:rsidRDefault="00176EBF" w:rsidP="00845A44">
      <w:pPr>
        <w:autoSpaceDE w:val="0"/>
        <w:autoSpaceDN w:val="0"/>
        <w:adjustRightInd w:val="0"/>
        <w:rPr>
          <w:rFonts w:eastAsia="Times New Roman" w:cs="Arial"/>
          <w:sz w:val="22"/>
          <w:lang w:val="en-IE"/>
        </w:rPr>
      </w:pPr>
      <w:r w:rsidRPr="002C5776">
        <w:rPr>
          <w:rFonts w:eastAsia="Times New Roman" w:cs="Arial"/>
          <w:sz w:val="22"/>
          <w:lang w:val="en-IE"/>
        </w:rPr>
        <w:t xml:space="preserve">Competent </w:t>
      </w:r>
      <w:r w:rsidR="00A66025">
        <w:rPr>
          <w:rFonts w:eastAsia="Times New Roman" w:cs="Arial"/>
          <w:sz w:val="22"/>
          <w:lang w:val="en-IE"/>
        </w:rPr>
        <w:t>A</w:t>
      </w:r>
      <w:r w:rsidR="00620699" w:rsidRPr="002C5776">
        <w:rPr>
          <w:rFonts w:eastAsia="Times New Roman" w:cs="Arial"/>
          <w:sz w:val="22"/>
          <w:lang w:val="en-IE"/>
        </w:rPr>
        <w:t xml:space="preserve">uthorities </w:t>
      </w:r>
      <w:r w:rsidRPr="002C5776">
        <w:rPr>
          <w:rFonts w:eastAsia="Times New Roman" w:cs="Arial"/>
          <w:sz w:val="22"/>
          <w:lang w:val="en-IE"/>
        </w:rPr>
        <w:t>may wish to complement the broadcast of Message 21</w:t>
      </w:r>
      <w:r w:rsidR="00C82918" w:rsidRPr="002C5776">
        <w:rPr>
          <w:rFonts w:eastAsia="Times New Roman" w:cs="Arial"/>
          <w:sz w:val="22"/>
          <w:lang w:val="en-IE"/>
        </w:rPr>
        <w:t xml:space="preserve"> </w:t>
      </w:r>
      <w:r w:rsidRPr="002C5776">
        <w:rPr>
          <w:rFonts w:eastAsia="Times New Roman" w:cs="Arial"/>
          <w:sz w:val="22"/>
          <w:lang w:val="en-IE"/>
        </w:rPr>
        <w:t>above, with a broadcast free text</w:t>
      </w:r>
      <w:r w:rsidR="00620699">
        <w:rPr>
          <w:rFonts w:eastAsia="Times New Roman" w:cs="Arial"/>
          <w:sz w:val="22"/>
          <w:lang w:val="en-IE"/>
        </w:rPr>
        <w:t xml:space="preserve"> safety related</w:t>
      </w:r>
      <w:r w:rsidRPr="002C5776">
        <w:rPr>
          <w:rFonts w:eastAsia="Times New Roman" w:cs="Arial"/>
          <w:sz w:val="22"/>
          <w:lang w:val="en-IE"/>
        </w:rPr>
        <w:t xml:space="preserve"> message (AIS Message 14) to warn of the hazard.</w:t>
      </w:r>
      <w:r>
        <w:rPr>
          <w:rFonts w:eastAsia="Times New Roman" w:cs="Arial"/>
          <w:sz w:val="22"/>
          <w:lang w:val="en-IE"/>
        </w:rPr>
        <w:t xml:space="preserve"> </w:t>
      </w:r>
    </w:p>
    <w:p w14:paraId="6B63F8F7" w14:textId="77777777" w:rsidR="00845A44" w:rsidRDefault="004A65E8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65" w:name="_Toc449013356"/>
      <w:bookmarkStart w:id="66" w:name="_Toc36129796"/>
      <w:r w:rsidRPr="00A44365">
        <w:rPr>
          <w:rFonts w:eastAsia="Times New Roman" w:cs="Arial"/>
          <w:caps w:val="0"/>
          <w:lang w:val="en-IE"/>
        </w:rPr>
        <w:t>DEPLOYMENT</w:t>
      </w:r>
      <w:bookmarkEnd w:id="65"/>
      <w:bookmarkEnd w:id="66"/>
    </w:p>
    <w:p w14:paraId="75530FCB" w14:textId="77777777" w:rsidR="00DC6AE6" w:rsidRPr="00A44365" w:rsidRDefault="00EB15E3" w:rsidP="00B50D67">
      <w:pPr>
        <w:pStyle w:val="Heading2"/>
      </w:pPr>
      <w:bookmarkStart w:id="67" w:name="_Toc36129797"/>
      <w:bookmarkStart w:id="68" w:name="_Toc449013357"/>
      <w:r>
        <w:t>Physical</w:t>
      </w:r>
      <w:r w:rsidR="00DC6AE6">
        <w:t xml:space="preserve"> </w:t>
      </w:r>
      <w:r>
        <w:t>MAtoN</w:t>
      </w:r>
      <w:bookmarkEnd w:id="67"/>
    </w:p>
    <w:p w14:paraId="0E91C686" w14:textId="77777777" w:rsidR="00DC6AE6" w:rsidRDefault="00176EBF" w:rsidP="00DC6AE6">
      <w:pPr>
        <w:pStyle w:val="BodyText"/>
        <w:rPr>
          <w:lang w:eastAsia="de-DE"/>
        </w:rPr>
      </w:pPr>
      <w:r>
        <w:rPr>
          <w:lang w:val="en-IE" w:eastAsia="de-DE"/>
        </w:rPr>
        <w:t xml:space="preserve">The </w:t>
      </w:r>
      <w:r w:rsidR="00A66025">
        <w:rPr>
          <w:lang w:val="en-IE" w:eastAsia="de-DE"/>
        </w:rPr>
        <w:t>C</w:t>
      </w:r>
      <w:r w:rsidR="00620699">
        <w:rPr>
          <w:lang w:val="en-IE" w:eastAsia="de-DE"/>
        </w:rPr>
        <w:t xml:space="preserve">ompetent </w:t>
      </w:r>
      <w:r w:rsidR="00A66025">
        <w:rPr>
          <w:lang w:val="en-IE" w:eastAsia="de-DE"/>
        </w:rPr>
        <w:t>A</w:t>
      </w:r>
      <w:r w:rsidR="00620699">
        <w:rPr>
          <w:lang w:val="en-IE" w:eastAsia="de-DE"/>
        </w:rPr>
        <w:t xml:space="preserve">uthority </w:t>
      </w:r>
      <w:r w:rsidR="00CF2714">
        <w:rPr>
          <w:lang w:val="en-IE" w:eastAsia="de-DE"/>
        </w:rPr>
        <w:t>should choose an</w:t>
      </w:r>
      <w:r w:rsidR="00DC6AE6">
        <w:rPr>
          <w:lang w:val="en-IE" w:eastAsia="de-DE"/>
        </w:rPr>
        <w:t xml:space="preserve"> appropriate method for the installation a</w:t>
      </w:r>
      <w:r w:rsidR="00CF2714">
        <w:rPr>
          <w:lang w:val="en-IE" w:eastAsia="de-DE"/>
        </w:rPr>
        <w:t>nd deployment of physical MAtoN, depending on the type and nature of the hazard (</w:t>
      </w:r>
      <w:r w:rsidR="00C82918">
        <w:rPr>
          <w:lang w:val="en-IE" w:eastAsia="de-DE"/>
        </w:rPr>
        <w:t>e</w:t>
      </w:r>
      <w:r w:rsidR="00CF2714">
        <w:rPr>
          <w:lang w:val="en-IE" w:eastAsia="de-DE"/>
        </w:rPr>
        <w:t>.g.</w:t>
      </w:r>
      <w:r w:rsidR="00DC6AE6">
        <w:rPr>
          <w:lang w:eastAsia="de-DE"/>
        </w:rPr>
        <w:t xml:space="preserve">, datum markers for search and rescue, icebergs, </w:t>
      </w:r>
      <w:r w:rsidR="00CF2714">
        <w:rPr>
          <w:lang w:eastAsia="de-DE"/>
        </w:rPr>
        <w:t>o</w:t>
      </w:r>
      <w:r w:rsidR="00DC6AE6" w:rsidRPr="00E3798E">
        <w:rPr>
          <w:lang w:eastAsia="de-DE"/>
        </w:rPr>
        <w:t>il slick</w:t>
      </w:r>
      <w:r w:rsidR="00CF2714">
        <w:rPr>
          <w:lang w:eastAsia="de-DE"/>
        </w:rPr>
        <w:t>,</w:t>
      </w:r>
      <w:r w:rsidR="00DC6AE6">
        <w:rPr>
          <w:lang w:eastAsia="de-DE"/>
        </w:rPr>
        <w:t xml:space="preserve"> </w:t>
      </w:r>
      <w:r w:rsidR="00DC6AE6" w:rsidRPr="00E3798E">
        <w:rPr>
          <w:lang w:eastAsia="de-DE"/>
        </w:rPr>
        <w:t>pollution</w:t>
      </w:r>
      <w:r w:rsidR="00DC6AE6">
        <w:rPr>
          <w:lang w:eastAsia="de-DE"/>
        </w:rPr>
        <w:t xml:space="preserve"> barriers, </w:t>
      </w:r>
      <w:r w:rsidR="00CF2714">
        <w:rPr>
          <w:lang w:eastAsia="de-DE"/>
        </w:rPr>
        <w:t>etc.</w:t>
      </w:r>
      <w:r w:rsidR="00DC6AE6" w:rsidRPr="00E3798E">
        <w:rPr>
          <w:lang w:eastAsia="de-DE"/>
        </w:rPr>
        <w:t>).</w:t>
      </w:r>
      <w:r w:rsidR="006C3F4A">
        <w:rPr>
          <w:lang w:eastAsia="de-DE"/>
        </w:rPr>
        <w:t xml:space="preserve"> </w:t>
      </w:r>
    </w:p>
    <w:p w14:paraId="0979CC30" w14:textId="77777777" w:rsidR="00CF2714" w:rsidRDefault="00CF2714" w:rsidP="00DC6AE6">
      <w:pPr>
        <w:pStyle w:val="BodyText"/>
        <w:rPr>
          <w:lang w:eastAsia="de-DE"/>
        </w:rPr>
      </w:pPr>
      <w:r>
        <w:rPr>
          <w:lang w:eastAsia="de-DE"/>
        </w:rPr>
        <w:t>Special consideration must be given to:</w:t>
      </w:r>
    </w:p>
    <w:p w14:paraId="209B082F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Safety of personnel</w:t>
      </w:r>
    </w:p>
    <w:p w14:paraId="7695B622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National work safety requirements</w:t>
      </w:r>
    </w:p>
    <w:p w14:paraId="687925FE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Equipment and resources available</w:t>
      </w:r>
    </w:p>
    <w:p w14:paraId="0AB373FE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Sea state and weather conditions</w:t>
      </w:r>
    </w:p>
    <w:p w14:paraId="21758E46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Priority accord</w:t>
      </w:r>
      <w:r w:rsidR="00C82918">
        <w:rPr>
          <w:lang w:eastAsia="de-DE"/>
        </w:rPr>
        <w:t xml:space="preserve">ed </w:t>
      </w:r>
      <w:r>
        <w:rPr>
          <w:lang w:eastAsia="de-DE"/>
        </w:rPr>
        <w:t>to the severity of the hazard</w:t>
      </w:r>
    </w:p>
    <w:p w14:paraId="35DFD358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 xml:space="preserve">Other </w:t>
      </w:r>
      <w:r w:rsidR="00C82918">
        <w:rPr>
          <w:lang w:eastAsia="de-DE"/>
        </w:rPr>
        <w:t>issues</w:t>
      </w:r>
      <w:r w:rsidR="00620699">
        <w:rPr>
          <w:lang w:eastAsia="de-DE"/>
        </w:rPr>
        <w:t>,</w:t>
      </w:r>
      <w:r w:rsidR="00C82918">
        <w:rPr>
          <w:lang w:eastAsia="de-DE"/>
        </w:rPr>
        <w:t xml:space="preserve"> </w:t>
      </w:r>
      <w:r>
        <w:rPr>
          <w:lang w:eastAsia="de-DE"/>
        </w:rPr>
        <w:t>as necessary</w:t>
      </w:r>
    </w:p>
    <w:p w14:paraId="66BBAE7C" w14:textId="77777777" w:rsidR="00DC6AE6" w:rsidRDefault="00EB15E3" w:rsidP="00B50D67">
      <w:pPr>
        <w:pStyle w:val="Heading2"/>
      </w:pPr>
      <w:bookmarkStart w:id="69" w:name="_Toc36129798"/>
      <w:r>
        <w:t>Virtual M</w:t>
      </w:r>
      <w:r w:rsidR="00A23664">
        <w:t>A</w:t>
      </w:r>
      <w:r>
        <w:t>to</w:t>
      </w:r>
      <w:r w:rsidR="00A23664">
        <w:t>N</w:t>
      </w:r>
      <w:bookmarkEnd w:id="69"/>
    </w:p>
    <w:p w14:paraId="4921AAE1" w14:textId="77777777" w:rsidR="00CF2714" w:rsidRDefault="00CF2714" w:rsidP="000D47AF">
      <w:pPr>
        <w:pStyle w:val="BodyText"/>
        <w:rPr>
          <w:lang w:eastAsia="de-DE"/>
        </w:rPr>
      </w:pPr>
      <w:r>
        <w:rPr>
          <w:lang w:eastAsia="de-DE"/>
        </w:rPr>
        <w:t xml:space="preserve">Deployment of </w:t>
      </w:r>
      <w:r w:rsidR="00620699">
        <w:rPr>
          <w:lang w:eastAsia="de-DE"/>
        </w:rPr>
        <w:t xml:space="preserve">a </w:t>
      </w:r>
      <w:r>
        <w:rPr>
          <w:lang w:eastAsia="de-DE"/>
        </w:rPr>
        <w:t>virtual MAtoN should:</w:t>
      </w:r>
    </w:p>
    <w:p w14:paraId="2BA55FCB" w14:textId="77777777" w:rsidR="00CF2714" w:rsidRDefault="00491AF1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Only</w:t>
      </w:r>
      <w:r w:rsidR="00CF2714">
        <w:rPr>
          <w:lang w:eastAsia="de-DE"/>
        </w:rPr>
        <w:t xml:space="preserve"> be done if the position of the hazard can be known</w:t>
      </w:r>
      <w:r w:rsidR="00620699">
        <w:rPr>
          <w:lang w:eastAsia="de-DE"/>
        </w:rPr>
        <w:t>,</w:t>
      </w:r>
      <w:r w:rsidR="00D302DD">
        <w:rPr>
          <w:lang w:eastAsia="de-DE"/>
        </w:rPr>
        <w:t xml:space="preserve"> and updated</w:t>
      </w:r>
      <w:r w:rsidR="00CF2714">
        <w:rPr>
          <w:lang w:eastAsia="de-DE"/>
        </w:rPr>
        <w:t xml:space="preserve"> in, or near, real time. </w:t>
      </w:r>
    </w:p>
    <w:p w14:paraId="0258B15D" w14:textId="77777777" w:rsidR="00DC6AE6" w:rsidRDefault="00491AF1" w:rsidP="00CF2714">
      <w:pPr>
        <w:pStyle w:val="BodyText"/>
        <w:numPr>
          <w:ilvl w:val="0"/>
          <w:numId w:val="57"/>
        </w:numPr>
      </w:pPr>
      <w:r>
        <w:t>Conform</w:t>
      </w:r>
      <w:r w:rsidR="003C5A8B">
        <w:t xml:space="preserve"> to IALA Guideline</w:t>
      </w:r>
      <w:r w:rsidR="003438E2">
        <w:t xml:space="preserve">s and Recommendations on </w:t>
      </w:r>
      <w:r w:rsidR="00CF2714">
        <w:t>V</w:t>
      </w:r>
      <w:r w:rsidR="00CB610E">
        <w:t>irtual AtoN</w:t>
      </w:r>
      <w:r w:rsidR="00CF2714">
        <w:t xml:space="preserve">. </w:t>
      </w:r>
    </w:p>
    <w:p w14:paraId="1F98DC42" w14:textId="77777777" w:rsidR="00813134" w:rsidRPr="00813134" w:rsidRDefault="00EB15E3" w:rsidP="00B50D67">
      <w:pPr>
        <w:pStyle w:val="Heading2"/>
      </w:pPr>
      <w:bookmarkStart w:id="70" w:name="_Toc496681984"/>
      <w:bookmarkStart w:id="71" w:name="_Toc496682151"/>
      <w:bookmarkStart w:id="72" w:name="_Toc496681985"/>
      <w:bookmarkStart w:id="73" w:name="_Toc496682152"/>
      <w:bookmarkStart w:id="74" w:name="_Toc36129799"/>
      <w:bookmarkEnd w:id="68"/>
      <w:bookmarkEnd w:id="70"/>
      <w:bookmarkEnd w:id="71"/>
      <w:bookmarkEnd w:id="72"/>
      <w:bookmarkEnd w:id="73"/>
      <w:r w:rsidRPr="00813134">
        <w:t>Promulgation</w:t>
      </w:r>
      <w:bookmarkEnd w:id="74"/>
    </w:p>
    <w:p w14:paraId="46468E8B" w14:textId="77777777" w:rsidR="0073444D" w:rsidRPr="000D47AF" w:rsidRDefault="0073444D" w:rsidP="0073444D">
      <w:pPr>
        <w:pStyle w:val="BodyText"/>
      </w:pPr>
      <w:bookmarkStart w:id="75" w:name="_Toc449013359"/>
      <w:r>
        <w:t xml:space="preserve">The promulgation of </w:t>
      </w:r>
      <w:r w:rsidR="00620699">
        <w:t xml:space="preserve">MSI </w:t>
      </w:r>
      <w:r>
        <w:t xml:space="preserve">is considered fundamental to the deployment of MAtoN and is complementary to the marking of the hazard to navigation. MSI is the established means for </w:t>
      </w:r>
      <w:r w:rsidR="00A66025">
        <w:t>Competent Authorities</w:t>
      </w:r>
      <w:r>
        <w:t xml:space="preserve"> to advise mariners of the location and other characteristics of the MAtoN. </w:t>
      </w:r>
    </w:p>
    <w:p w14:paraId="1BD74EAE" w14:textId="77777777" w:rsidR="0073444D" w:rsidRDefault="0073444D" w:rsidP="00DC6AE6">
      <w:pPr>
        <w:pStyle w:val="BodyText"/>
        <w:rPr>
          <w:lang w:eastAsia="de-DE"/>
        </w:rPr>
      </w:pPr>
      <w:r>
        <w:rPr>
          <w:lang w:eastAsia="de-DE"/>
        </w:rPr>
        <w:t xml:space="preserve">Therefore, </w:t>
      </w:r>
      <w:r w:rsidR="00A66025">
        <w:rPr>
          <w:lang w:eastAsia="de-DE"/>
        </w:rPr>
        <w:t>C</w:t>
      </w:r>
      <w:r w:rsidR="00C82918">
        <w:rPr>
          <w:lang w:eastAsia="de-DE"/>
        </w:rPr>
        <w:t xml:space="preserve">ompetent </w:t>
      </w:r>
      <w:r w:rsidR="00A66025">
        <w:rPr>
          <w:lang w:eastAsia="de-DE"/>
        </w:rPr>
        <w:t>A</w:t>
      </w:r>
      <w:r w:rsidR="00DC6AE6">
        <w:rPr>
          <w:lang w:eastAsia="de-DE"/>
        </w:rPr>
        <w:t>uthorities</w:t>
      </w:r>
      <w:r w:rsidR="005338C0">
        <w:rPr>
          <w:lang w:eastAsia="de-DE"/>
        </w:rPr>
        <w:t xml:space="preserve"> </w:t>
      </w:r>
      <w:r w:rsidR="00462450">
        <w:rPr>
          <w:lang w:eastAsia="de-DE"/>
        </w:rPr>
        <w:t>should</w:t>
      </w:r>
      <w:r w:rsidR="00DC6AE6" w:rsidRPr="00271923">
        <w:rPr>
          <w:lang w:eastAsia="de-DE"/>
        </w:rPr>
        <w:t xml:space="preserve"> promulgate</w:t>
      </w:r>
      <w:r w:rsidR="00DC6AE6">
        <w:rPr>
          <w:lang w:eastAsia="de-DE"/>
        </w:rPr>
        <w:t xml:space="preserve"> </w:t>
      </w:r>
      <w:r w:rsidR="00DC6AE6" w:rsidRPr="00271923">
        <w:rPr>
          <w:lang w:eastAsia="de-DE"/>
        </w:rPr>
        <w:t>the par</w:t>
      </w:r>
      <w:r w:rsidR="00CF2714">
        <w:rPr>
          <w:lang w:eastAsia="de-DE"/>
        </w:rPr>
        <w:t xml:space="preserve">ticulars of the MAtoN by </w:t>
      </w:r>
      <w:r w:rsidR="00DC6AE6" w:rsidRPr="00271923">
        <w:rPr>
          <w:lang w:eastAsia="de-DE"/>
        </w:rPr>
        <w:t>all appropriate means</w:t>
      </w:r>
      <w:r>
        <w:rPr>
          <w:lang w:eastAsia="de-DE"/>
        </w:rPr>
        <w:t xml:space="preserve">, including </w:t>
      </w:r>
      <w:r w:rsidR="00DC6AE6">
        <w:rPr>
          <w:lang w:eastAsia="de-DE"/>
        </w:rPr>
        <w:t xml:space="preserve">through the </w:t>
      </w:r>
      <w:r w:rsidR="00A270A1">
        <w:rPr>
          <w:lang w:eastAsia="de-DE"/>
        </w:rPr>
        <w:t xml:space="preserve">promulgation of </w:t>
      </w:r>
      <w:r>
        <w:t>MSI</w:t>
      </w:r>
      <w:r w:rsidDel="0073444D">
        <w:rPr>
          <w:lang w:eastAsia="de-DE"/>
        </w:rPr>
        <w:t xml:space="preserve"> </w:t>
      </w:r>
      <w:r w:rsidR="0010097F">
        <w:rPr>
          <w:lang w:eastAsia="de-DE"/>
        </w:rPr>
        <w:t>and</w:t>
      </w:r>
      <w:r w:rsidR="00A270A1">
        <w:rPr>
          <w:lang w:eastAsia="de-DE"/>
        </w:rPr>
        <w:t xml:space="preserve"> </w:t>
      </w:r>
      <w:r w:rsidR="0010097F">
        <w:rPr>
          <w:lang w:eastAsia="de-DE"/>
        </w:rPr>
        <w:t>N</w:t>
      </w:r>
      <w:r w:rsidR="00A270A1">
        <w:rPr>
          <w:lang w:eastAsia="de-DE"/>
        </w:rPr>
        <w:t xml:space="preserve">otices to </w:t>
      </w:r>
      <w:r w:rsidR="0010097F">
        <w:rPr>
          <w:lang w:eastAsia="de-DE"/>
        </w:rPr>
        <w:t>M</w:t>
      </w:r>
      <w:r w:rsidR="00A270A1">
        <w:rPr>
          <w:lang w:eastAsia="de-DE"/>
        </w:rPr>
        <w:t>ariners</w:t>
      </w:r>
      <w:r w:rsidR="0010097F">
        <w:rPr>
          <w:lang w:eastAsia="de-DE"/>
        </w:rPr>
        <w:t>.</w:t>
      </w:r>
    </w:p>
    <w:p w14:paraId="2DF21712" w14:textId="77777777" w:rsidR="000D47AF" w:rsidRPr="000D47AF" w:rsidRDefault="00A270A1" w:rsidP="00DC6AE6">
      <w:pPr>
        <w:pStyle w:val="BodyText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lastRenderedPageBreak/>
        <w:t xml:space="preserve">Hazards should remain marked until the </w:t>
      </w:r>
      <w:r w:rsidR="00A66025">
        <w:rPr>
          <w:rFonts w:eastAsia="Times New Roman" w:cstheme="minorHAnsi"/>
          <w:lang w:eastAsia="de-DE"/>
        </w:rPr>
        <w:t>C</w:t>
      </w:r>
      <w:r>
        <w:rPr>
          <w:rFonts w:eastAsia="Times New Roman" w:cstheme="minorHAnsi"/>
          <w:lang w:eastAsia="de-DE"/>
        </w:rPr>
        <w:t xml:space="preserve">ompetent </w:t>
      </w:r>
      <w:r w:rsidR="00A66025">
        <w:rPr>
          <w:rFonts w:eastAsia="Times New Roman" w:cstheme="minorHAnsi"/>
          <w:lang w:eastAsia="de-DE"/>
        </w:rPr>
        <w:t>A</w:t>
      </w:r>
      <w:r w:rsidR="000D47AF" w:rsidRPr="000D47AF">
        <w:rPr>
          <w:rFonts w:eastAsia="Times New Roman" w:cstheme="minorHAnsi"/>
          <w:lang w:eastAsia="de-DE"/>
        </w:rPr>
        <w:t>uthority has asse</w:t>
      </w:r>
      <w:r>
        <w:rPr>
          <w:rFonts w:eastAsia="Times New Roman" w:cstheme="minorHAnsi"/>
          <w:lang w:eastAsia="de-DE"/>
        </w:rPr>
        <w:t>ssed that information</w:t>
      </w:r>
      <w:r w:rsidR="000D47AF" w:rsidRPr="000D47AF">
        <w:rPr>
          <w:rFonts w:eastAsia="Times New Roman" w:cstheme="minorHAnsi"/>
          <w:lang w:eastAsia="de-DE"/>
        </w:rPr>
        <w:t xml:space="preserve"> </w:t>
      </w:r>
      <w:r w:rsidR="00D302DD">
        <w:rPr>
          <w:rFonts w:eastAsia="Times New Roman" w:cstheme="minorHAnsi"/>
          <w:lang w:eastAsia="de-DE"/>
        </w:rPr>
        <w:t xml:space="preserve">about the hazard </w:t>
      </w:r>
      <w:r w:rsidR="000D47AF" w:rsidRPr="000D47AF">
        <w:rPr>
          <w:rFonts w:eastAsia="Times New Roman" w:cstheme="minorHAnsi"/>
          <w:lang w:eastAsia="de-DE"/>
        </w:rPr>
        <w:t>has been sufficiently promulgated, or there is no longer a risk to safety of navigation.</w:t>
      </w:r>
    </w:p>
    <w:p w14:paraId="3B6BC74F" w14:textId="77777777" w:rsidR="00DC6AE6" w:rsidRDefault="00DC6AE6" w:rsidP="00DC6AE6">
      <w:pPr>
        <w:pStyle w:val="BodyText"/>
        <w:rPr>
          <w:lang w:eastAsia="de-DE"/>
        </w:rPr>
      </w:pPr>
      <w:r>
        <w:rPr>
          <w:lang w:eastAsia="de-DE"/>
        </w:rPr>
        <w:t>Promulgation should include details of the MAtoN, including</w:t>
      </w:r>
      <w:r w:rsidR="00E44A85">
        <w:rPr>
          <w:lang w:eastAsia="de-DE"/>
        </w:rPr>
        <w:t>:</w:t>
      </w:r>
      <w:r>
        <w:rPr>
          <w:lang w:eastAsia="de-DE"/>
        </w:rPr>
        <w:t xml:space="preserve"> </w:t>
      </w:r>
    </w:p>
    <w:p w14:paraId="30C9FD43" w14:textId="77777777" w:rsidR="005D3CDE" w:rsidRDefault="005D3CDE" w:rsidP="005D3CDE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Description of the hazard that is being marked</w:t>
      </w:r>
    </w:p>
    <w:p w14:paraId="5005CBD4" w14:textId="77777777" w:rsidR="00A270A1" w:rsidRDefault="00D302DD" w:rsidP="00A270A1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The type of MAtoN used, whether </w:t>
      </w:r>
      <w:r w:rsidR="005D3CDE">
        <w:rPr>
          <w:lang w:eastAsia="de-DE"/>
        </w:rPr>
        <w:t>p</w:t>
      </w:r>
      <w:r w:rsidR="00A270A1">
        <w:rPr>
          <w:lang w:eastAsia="de-DE"/>
        </w:rPr>
        <w:t>hysical (</w:t>
      </w:r>
      <w:r w:rsidR="00620699">
        <w:rPr>
          <w:lang w:eastAsia="de-DE"/>
        </w:rPr>
        <w:t>e.g.</w:t>
      </w:r>
      <w:r w:rsidR="00A270A1">
        <w:rPr>
          <w:lang w:eastAsia="de-DE"/>
        </w:rPr>
        <w:t xml:space="preserve"> spar or pillar) or virtual</w:t>
      </w:r>
    </w:p>
    <w:p w14:paraId="096971B7" w14:textId="77777777" w:rsidR="00DC6AE6" w:rsidRDefault="00E56B35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If lighted</w:t>
      </w:r>
      <w:r w:rsidR="005D3CDE">
        <w:rPr>
          <w:lang w:eastAsia="de-DE"/>
        </w:rPr>
        <w:t>,</w:t>
      </w:r>
    </w:p>
    <w:p w14:paraId="2D3C29F6" w14:textId="77777777" w:rsidR="00DC6AE6" w:rsidRDefault="00DC6AE6" w:rsidP="000D47AF">
      <w:pPr>
        <w:pStyle w:val="BodyText"/>
        <w:numPr>
          <w:ilvl w:val="1"/>
          <w:numId w:val="50"/>
        </w:numPr>
        <w:rPr>
          <w:lang w:eastAsia="de-DE"/>
        </w:rPr>
      </w:pPr>
      <w:r>
        <w:rPr>
          <w:lang w:eastAsia="de-DE"/>
        </w:rPr>
        <w:t>Colour</w:t>
      </w:r>
    </w:p>
    <w:p w14:paraId="782289D8" w14:textId="77777777" w:rsidR="00DC6AE6" w:rsidRDefault="00E56B35" w:rsidP="000D47AF">
      <w:pPr>
        <w:pStyle w:val="BodyText"/>
        <w:numPr>
          <w:ilvl w:val="1"/>
          <w:numId w:val="50"/>
        </w:numPr>
        <w:rPr>
          <w:lang w:eastAsia="de-DE"/>
        </w:rPr>
      </w:pPr>
      <w:r>
        <w:rPr>
          <w:lang w:eastAsia="de-DE"/>
        </w:rPr>
        <w:t>Flash c</w:t>
      </w:r>
      <w:r w:rsidR="00DC6AE6">
        <w:rPr>
          <w:lang w:eastAsia="de-DE"/>
        </w:rPr>
        <w:t>haracter</w:t>
      </w:r>
    </w:p>
    <w:p w14:paraId="600F2E9C" w14:textId="77777777" w:rsidR="00DC6AE6" w:rsidRDefault="00E56B35" w:rsidP="000D47AF">
      <w:pPr>
        <w:pStyle w:val="BodyText"/>
        <w:numPr>
          <w:ilvl w:val="1"/>
          <w:numId w:val="50"/>
        </w:numPr>
        <w:rPr>
          <w:lang w:eastAsia="de-DE"/>
        </w:rPr>
      </w:pPr>
      <w:r>
        <w:rPr>
          <w:lang w:eastAsia="de-DE"/>
        </w:rPr>
        <w:t>Nominal r</w:t>
      </w:r>
      <w:r w:rsidR="00DC6AE6">
        <w:rPr>
          <w:lang w:eastAsia="de-DE"/>
        </w:rPr>
        <w:t>ange</w:t>
      </w:r>
    </w:p>
    <w:p w14:paraId="417BFC5A" w14:textId="77777777" w:rsidR="00DC6AE6" w:rsidRDefault="00704658" w:rsidP="002C577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Positional data</w:t>
      </w:r>
      <w:r w:rsidR="00620699">
        <w:rPr>
          <w:lang w:eastAsia="de-DE"/>
        </w:rPr>
        <w:t>,</w:t>
      </w:r>
      <w:r>
        <w:rPr>
          <w:lang w:eastAsia="de-DE"/>
        </w:rPr>
        <w:t xml:space="preserve"> as deemed appropriate by the </w:t>
      </w:r>
      <w:r w:rsidR="00A66025">
        <w:rPr>
          <w:lang w:eastAsia="de-DE"/>
        </w:rPr>
        <w:t>Competent Authority</w:t>
      </w:r>
    </w:p>
    <w:p w14:paraId="4C8CCED4" w14:textId="77777777" w:rsidR="00DC6AE6" w:rsidRDefault="005D3CDE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Any rules and</w:t>
      </w:r>
      <w:r w:rsidR="00DC6AE6">
        <w:rPr>
          <w:lang w:eastAsia="de-DE"/>
        </w:rPr>
        <w:t xml:space="preserve"> regulatio</w:t>
      </w:r>
      <w:r>
        <w:rPr>
          <w:lang w:eastAsia="de-DE"/>
        </w:rPr>
        <w:t>ns applicable</w:t>
      </w:r>
      <w:r w:rsidR="00DC6AE6">
        <w:rPr>
          <w:lang w:eastAsia="de-DE"/>
        </w:rPr>
        <w:t xml:space="preserve"> </w:t>
      </w:r>
    </w:p>
    <w:p w14:paraId="50E77574" w14:textId="77777777" w:rsidR="00DC6AE6" w:rsidRDefault="00DC6AE6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Duration</w:t>
      </w:r>
      <w:r w:rsidR="00C61CA2">
        <w:rPr>
          <w:lang w:eastAsia="de-DE"/>
        </w:rPr>
        <w:t xml:space="preserve"> for which the promulgation of MSI is valid (e.g. duration after which the location is uncertain)</w:t>
      </w:r>
    </w:p>
    <w:p w14:paraId="5A91C632" w14:textId="77777777" w:rsidR="00C61CA2" w:rsidDel="00AE2E6C" w:rsidRDefault="00C61CA2" w:rsidP="00DC6AE6">
      <w:pPr>
        <w:pStyle w:val="BodyText"/>
        <w:numPr>
          <w:ilvl w:val="0"/>
          <w:numId w:val="49"/>
        </w:numPr>
        <w:rPr>
          <w:del w:id="76" w:author="Tom Southall" w:date="2020-03-26T15:02:00Z"/>
          <w:lang w:eastAsia="de-DE"/>
        </w:rPr>
      </w:pPr>
      <w:r>
        <w:rPr>
          <w:lang w:eastAsia="de-DE"/>
        </w:rPr>
        <w:t>Request for sighting reports</w:t>
      </w:r>
    </w:p>
    <w:p w14:paraId="256D4AF3" w14:textId="77777777" w:rsidR="00AE2E6C" w:rsidRDefault="008F52C1" w:rsidP="00DC6AE6">
      <w:pPr>
        <w:pStyle w:val="BodyText"/>
        <w:numPr>
          <w:ilvl w:val="0"/>
          <w:numId w:val="49"/>
        </w:numPr>
        <w:rPr>
          <w:ins w:id="77" w:author="Tom Southall" w:date="2020-03-26T15:41:00Z"/>
          <w:lang w:eastAsia="de-DE"/>
        </w:rPr>
      </w:pPr>
      <w:ins w:id="78" w:author="Tom Southall" w:date="2020-03-26T15:41:00Z">
        <w:r>
          <w:rPr>
            <w:rFonts w:eastAsia="Times New Roman"/>
          </w:rPr>
          <w:t>D</w:t>
        </w:r>
        <w:r w:rsidR="00AE2E6C">
          <w:rPr>
            <w:rFonts w:eastAsia="Times New Roman"/>
          </w:rPr>
          <w:t>irection and spe</w:t>
        </w:r>
        <w:r>
          <w:rPr>
            <w:rFonts w:eastAsia="Times New Roman"/>
          </w:rPr>
          <w:t>e</w:t>
        </w:r>
        <w:r w:rsidR="00AE2E6C">
          <w:rPr>
            <w:rFonts w:eastAsia="Times New Roman"/>
          </w:rPr>
          <w:t xml:space="preserve">d of drift and time when the last coordinate information was </w:t>
        </w:r>
        <w:commentRangeStart w:id="79"/>
        <w:r w:rsidR="00AE2E6C">
          <w:rPr>
            <w:rFonts w:eastAsia="Times New Roman"/>
          </w:rPr>
          <w:t>received</w:t>
        </w:r>
      </w:ins>
      <w:commentRangeEnd w:id="79"/>
      <w:r w:rsidR="00DC7360">
        <w:rPr>
          <w:rStyle w:val="CommentReference"/>
        </w:rPr>
        <w:commentReference w:id="79"/>
      </w:r>
    </w:p>
    <w:p w14:paraId="13358D72" w14:textId="77777777" w:rsidR="00C61CA2" w:rsidRDefault="00C61CA2" w:rsidP="00DC7360">
      <w:pPr>
        <w:pStyle w:val="BodyText"/>
        <w:numPr>
          <w:ilvl w:val="0"/>
          <w:numId w:val="49"/>
        </w:numPr>
        <w:rPr>
          <w:lang w:eastAsia="de-DE"/>
        </w:rPr>
      </w:pPr>
    </w:p>
    <w:p w14:paraId="08800F15" w14:textId="77777777" w:rsidR="00C61CA2" w:rsidRDefault="00E02B34" w:rsidP="002C5776">
      <w:pPr>
        <w:pStyle w:val="Heading2"/>
        <w:rPr>
          <w:lang w:eastAsia="de-DE"/>
        </w:rPr>
      </w:pPr>
      <w:bookmarkStart w:id="80" w:name="_Toc36129800"/>
      <w:r>
        <w:rPr>
          <w:lang w:eastAsia="de-DE"/>
        </w:rPr>
        <w:t>Prom</w:t>
      </w:r>
      <w:r w:rsidR="00A16607">
        <w:rPr>
          <w:lang w:eastAsia="de-DE"/>
        </w:rPr>
        <w:t>ulgation By</w:t>
      </w:r>
      <w:r w:rsidR="00FA6126">
        <w:rPr>
          <w:lang w:eastAsia="de-DE"/>
        </w:rPr>
        <w:t xml:space="preserve"> VTS</w:t>
      </w:r>
      <w:bookmarkEnd w:id="80"/>
    </w:p>
    <w:p w14:paraId="33CF42BD" w14:textId="77777777" w:rsidR="00404AC1" w:rsidRDefault="00404AC1" w:rsidP="00813134">
      <w:pPr>
        <w:pStyle w:val="BodyText"/>
        <w:rPr>
          <w:lang w:eastAsia="de-DE"/>
        </w:rPr>
      </w:pPr>
      <w:r>
        <w:rPr>
          <w:lang w:eastAsia="de-DE"/>
        </w:rPr>
        <w:t>When a MAtoN is planned to be deployed in a VTS area, it is important to liaise</w:t>
      </w:r>
      <w:r w:rsidRPr="003C3260">
        <w:rPr>
          <w:lang w:eastAsia="de-DE"/>
        </w:rPr>
        <w:t xml:space="preserve"> with </w:t>
      </w:r>
      <w:r>
        <w:rPr>
          <w:lang w:eastAsia="de-DE"/>
        </w:rPr>
        <w:t xml:space="preserve">the VTS </w:t>
      </w:r>
      <w:r w:rsidR="00A23664">
        <w:rPr>
          <w:lang w:eastAsia="de-DE"/>
        </w:rPr>
        <w:t>A</w:t>
      </w:r>
      <w:r>
        <w:rPr>
          <w:lang w:eastAsia="de-DE"/>
        </w:rPr>
        <w:t>uthority</w:t>
      </w:r>
      <w:r w:rsidR="00620699">
        <w:rPr>
          <w:lang w:eastAsia="de-DE"/>
        </w:rPr>
        <w:t>,</w:t>
      </w:r>
      <w:r>
        <w:rPr>
          <w:lang w:eastAsia="de-DE"/>
        </w:rPr>
        <w:t xml:space="preserve"> so that it can promulgate </w:t>
      </w:r>
      <w:r w:rsidRPr="003C3260">
        <w:rPr>
          <w:lang w:eastAsia="de-DE"/>
        </w:rPr>
        <w:t xml:space="preserve">information </w:t>
      </w:r>
      <w:r>
        <w:rPr>
          <w:lang w:eastAsia="de-DE"/>
        </w:rPr>
        <w:t>on the MAtoN</w:t>
      </w:r>
      <w:r w:rsidR="00620699">
        <w:rPr>
          <w:lang w:eastAsia="de-DE"/>
        </w:rPr>
        <w:t>,</w:t>
      </w:r>
      <w:r w:rsidR="00C82918">
        <w:rPr>
          <w:lang w:eastAsia="de-DE"/>
        </w:rPr>
        <w:t xml:space="preserve"> </w:t>
      </w:r>
      <w:r>
        <w:rPr>
          <w:lang w:eastAsia="de-DE"/>
        </w:rPr>
        <w:t>as part of its information service.</w:t>
      </w:r>
    </w:p>
    <w:p w14:paraId="314029A6" w14:textId="77777777" w:rsidR="00813134" w:rsidRDefault="00404AC1" w:rsidP="00813134">
      <w:pPr>
        <w:pStyle w:val="BodyText"/>
        <w:rPr>
          <w:lang w:eastAsia="de-DE"/>
        </w:rPr>
      </w:pPr>
      <w:r>
        <w:rPr>
          <w:lang w:eastAsia="de-DE"/>
        </w:rPr>
        <w:t>Such information can include</w:t>
      </w:r>
      <w:r w:rsidR="00813134">
        <w:rPr>
          <w:lang w:eastAsia="de-DE"/>
        </w:rPr>
        <w:t>:</w:t>
      </w:r>
    </w:p>
    <w:p w14:paraId="058A88BE" w14:textId="77777777" w:rsidR="00404AC1" w:rsidRDefault="00404AC1" w:rsidP="001F099F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Characteristics of the MAtoN, including its location and duration of deployment</w:t>
      </w:r>
    </w:p>
    <w:p w14:paraId="2EACA6C8" w14:textId="77777777" w:rsidR="00813134" w:rsidRDefault="00404AC1" w:rsidP="001F099F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Any limitation on ship </w:t>
      </w:r>
      <w:r w:rsidR="005B4E29">
        <w:rPr>
          <w:lang w:eastAsia="de-DE"/>
        </w:rPr>
        <w:t>manoeuvrability</w:t>
      </w:r>
      <w:r w:rsidR="00813134">
        <w:rPr>
          <w:lang w:eastAsia="de-DE"/>
        </w:rPr>
        <w:t xml:space="preserve"> </w:t>
      </w:r>
      <w:ins w:id="81" w:author="Tom Southall" w:date="2020-03-26T15:04:00Z">
        <w:r w:rsidR="00FD5976">
          <w:rPr>
            <w:lang w:eastAsia="de-DE"/>
          </w:rPr>
          <w:t>[navigational space</w:t>
        </w:r>
        <w:r w:rsidR="00BF1E7F">
          <w:rPr>
            <w:lang w:eastAsia="de-DE"/>
          </w:rPr>
          <w:t>?</w:t>
        </w:r>
        <w:r w:rsidR="00FD5976">
          <w:rPr>
            <w:lang w:eastAsia="de-DE"/>
          </w:rPr>
          <w:t xml:space="preserve">] </w:t>
        </w:r>
      </w:ins>
      <w:r w:rsidR="00C82918">
        <w:rPr>
          <w:lang w:eastAsia="de-DE"/>
        </w:rPr>
        <w:t>in the VTS area</w:t>
      </w:r>
    </w:p>
    <w:p w14:paraId="3087249E" w14:textId="77777777" w:rsidR="00813134" w:rsidRDefault="00813134" w:rsidP="00813134">
      <w:pPr>
        <w:pStyle w:val="BodyText"/>
        <w:rPr>
          <w:lang w:eastAsia="de-DE"/>
        </w:rPr>
      </w:pPr>
      <w:r>
        <w:rPr>
          <w:lang w:eastAsia="de-DE"/>
        </w:rPr>
        <w:t xml:space="preserve">It should be noted that a </w:t>
      </w:r>
      <w:r w:rsidRPr="00B81859">
        <w:rPr>
          <w:lang w:eastAsia="de-DE"/>
        </w:rPr>
        <w:t xml:space="preserve">VTS </w:t>
      </w:r>
      <w:r w:rsidR="00404AC1">
        <w:rPr>
          <w:lang w:eastAsia="de-DE"/>
        </w:rPr>
        <w:t xml:space="preserve">may also be the provider of </w:t>
      </w:r>
      <w:r w:rsidRPr="00B81859">
        <w:rPr>
          <w:lang w:eastAsia="de-DE"/>
        </w:rPr>
        <w:t>MSI</w:t>
      </w:r>
      <w:r w:rsidR="00CF1414">
        <w:rPr>
          <w:lang w:eastAsia="de-DE"/>
        </w:rPr>
        <w:t xml:space="preserve"> in </w:t>
      </w:r>
      <w:r w:rsidR="00CC30FB">
        <w:rPr>
          <w:lang w:eastAsia="de-DE"/>
        </w:rPr>
        <w:t xml:space="preserve">some </w:t>
      </w:r>
      <w:r w:rsidR="00CF1414">
        <w:rPr>
          <w:lang w:eastAsia="de-DE"/>
        </w:rPr>
        <w:t>instances</w:t>
      </w:r>
      <w:r>
        <w:rPr>
          <w:lang w:eastAsia="de-DE"/>
        </w:rPr>
        <w:t>.</w:t>
      </w:r>
    </w:p>
    <w:p w14:paraId="4B9492B2" w14:textId="77777777" w:rsidR="00845A44" w:rsidRPr="00993B7D" w:rsidRDefault="004A65E8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82" w:name="_Toc216489709"/>
      <w:bookmarkStart w:id="83" w:name="_Toc449013361"/>
      <w:bookmarkStart w:id="84" w:name="_Toc36129801"/>
      <w:bookmarkEnd w:id="75"/>
      <w:r w:rsidRPr="00993B7D">
        <w:rPr>
          <w:caps w:val="0"/>
        </w:rPr>
        <w:t>MONITORING AND REPORTING</w:t>
      </w:r>
      <w:bookmarkEnd w:id="82"/>
      <w:bookmarkEnd w:id="83"/>
      <w:bookmarkEnd w:id="84"/>
    </w:p>
    <w:p w14:paraId="1DCC9394" w14:textId="77777777" w:rsidR="00DC6AE6" w:rsidRDefault="00EB15E3" w:rsidP="00B50D67">
      <w:pPr>
        <w:pStyle w:val="Heading2"/>
      </w:pPr>
      <w:bookmarkStart w:id="85" w:name="_Toc36129802"/>
      <w:bookmarkStart w:id="86" w:name="_Toc449013364"/>
      <w:r>
        <w:t>Monitoring</w:t>
      </w:r>
      <w:bookmarkEnd w:id="85"/>
    </w:p>
    <w:bookmarkEnd w:id="86"/>
    <w:p w14:paraId="4C46513B" w14:textId="77777777" w:rsidR="001F3681" w:rsidRDefault="001F3681" w:rsidP="00845A44">
      <w:pPr>
        <w:pStyle w:val="BodyText"/>
        <w:rPr>
          <w:lang w:eastAsia="de-DE"/>
        </w:rPr>
      </w:pPr>
      <w:r>
        <w:rPr>
          <w:lang w:eastAsia="de-DE"/>
        </w:rPr>
        <w:t>The purpose of monitoring the location and state of the MAtoN</w:t>
      </w:r>
      <w:r w:rsidR="00620699">
        <w:rPr>
          <w:lang w:eastAsia="de-DE"/>
        </w:rPr>
        <w:t>,</w:t>
      </w:r>
      <w:r>
        <w:rPr>
          <w:lang w:eastAsia="de-DE"/>
        </w:rPr>
        <w:t xml:space="preserve"> is to know where the hazard to navigation is</w:t>
      </w:r>
      <w:r w:rsidR="00620699">
        <w:rPr>
          <w:lang w:eastAsia="de-DE"/>
        </w:rPr>
        <w:t>,</w:t>
      </w:r>
      <w:r>
        <w:rPr>
          <w:lang w:eastAsia="de-DE"/>
        </w:rPr>
        <w:t xml:space="preserve"> at all times.  This is so that the information can be promulgated to mariners and others interested</w:t>
      </w:r>
      <w:r w:rsidR="00C82918">
        <w:rPr>
          <w:lang w:eastAsia="de-DE"/>
        </w:rPr>
        <w:t xml:space="preserve">, </w:t>
      </w:r>
      <w:r>
        <w:rPr>
          <w:lang w:eastAsia="de-DE"/>
        </w:rPr>
        <w:t xml:space="preserve">by the best available means. It is also necessary when recovering physical MAtoN. </w:t>
      </w:r>
    </w:p>
    <w:p w14:paraId="40A734AD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D42FB9">
        <w:t>M</w:t>
      </w:r>
      <w:r>
        <w:t>AtoN</w:t>
      </w:r>
      <w:r>
        <w:rPr>
          <w:lang w:eastAsia="de-DE"/>
        </w:rPr>
        <w:t xml:space="preserve"> </w:t>
      </w:r>
      <w:r w:rsidR="001F3681">
        <w:rPr>
          <w:lang w:eastAsia="de-DE"/>
        </w:rPr>
        <w:t>can be monitored by</w:t>
      </w:r>
      <w:r>
        <w:rPr>
          <w:lang w:eastAsia="de-DE"/>
        </w:rPr>
        <w:t>:</w:t>
      </w:r>
    </w:p>
    <w:p w14:paraId="699CAE6E" w14:textId="77777777" w:rsidR="00DC6AE6" w:rsidRDefault="00CF1414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use of </w:t>
      </w:r>
      <w:r w:rsidR="00704658">
        <w:t xml:space="preserve">the </w:t>
      </w:r>
      <w:r w:rsidR="00A66025">
        <w:t>C</w:t>
      </w:r>
      <w:r w:rsidR="00704658">
        <w:t xml:space="preserve">ompetent </w:t>
      </w:r>
      <w:r w:rsidR="00A66025">
        <w:t>A</w:t>
      </w:r>
      <w:r w:rsidR="00704658">
        <w:t xml:space="preserve">uthority’s </w:t>
      </w:r>
      <w:r>
        <w:t>a</w:t>
      </w:r>
      <w:r w:rsidRPr="000D47AF">
        <w:t>ssets</w:t>
      </w:r>
      <w:r w:rsidR="0073444D">
        <w:t xml:space="preserve"> (e.g. helicopters, boats, UAV)</w:t>
      </w:r>
      <w:r w:rsidRPr="000D47AF">
        <w:t xml:space="preserve"> in the vicinity of the MAtoN</w:t>
      </w:r>
    </w:p>
    <w:p w14:paraId="3ADCAD25" w14:textId="77777777" w:rsidR="00DC6AE6" w:rsidRPr="00BE25DE" w:rsidRDefault="001F3681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lang w:val="pt-PT"/>
        </w:rPr>
      </w:pPr>
      <w:r>
        <w:rPr>
          <w:lang w:val="pt-PT"/>
        </w:rPr>
        <w:t xml:space="preserve">remotely </w:t>
      </w:r>
      <w:r w:rsidR="00DC6AE6" w:rsidRPr="00BE25DE">
        <w:rPr>
          <w:lang w:val="pt-PT"/>
        </w:rPr>
        <w:t>(</w:t>
      </w:r>
      <w:r>
        <w:rPr>
          <w:lang w:val="pt-PT"/>
        </w:rPr>
        <w:t>e.g.</w:t>
      </w:r>
      <w:r w:rsidR="00DC6AE6" w:rsidRPr="00BE25DE">
        <w:rPr>
          <w:lang w:val="pt-PT"/>
        </w:rPr>
        <w:t xml:space="preserve"> radar,</w:t>
      </w:r>
      <w:r w:rsidR="00DC6AE6">
        <w:rPr>
          <w:lang w:val="pt-PT"/>
        </w:rPr>
        <w:t xml:space="preserve"> satellite, </w:t>
      </w:r>
      <w:r w:rsidR="00C82918">
        <w:rPr>
          <w:lang w:val="pt-PT"/>
        </w:rPr>
        <w:t xml:space="preserve">AIS and telecommunications and other technologies) </w:t>
      </w:r>
    </w:p>
    <w:p w14:paraId="3EEB2F98" w14:textId="77777777" w:rsidR="00DC6AE6" w:rsidRDefault="001F3681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requesting </w:t>
      </w:r>
      <w:r w:rsidR="00DC6AE6">
        <w:t xml:space="preserve">vessels </w:t>
      </w:r>
      <w:r w:rsidR="00CF1414">
        <w:t xml:space="preserve">in the vicinity </w:t>
      </w:r>
      <w:r w:rsidR="00DC6AE6">
        <w:t>to repor</w:t>
      </w:r>
      <w:r w:rsidR="00CF1414">
        <w:t>t visual</w:t>
      </w:r>
      <w:r>
        <w:t>/radar sightings and/or AIS detections</w:t>
      </w:r>
      <w:r w:rsidR="00CF1414">
        <w:t xml:space="preserve"> of the MAtoN</w:t>
      </w:r>
    </w:p>
    <w:p w14:paraId="5F8DBB2D" w14:textId="77777777" w:rsidR="00845A44" w:rsidRPr="00F50B1C" w:rsidRDefault="00EB15E3" w:rsidP="00B50D67">
      <w:pPr>
        <w:pStyle w:val="Heading2"/>
      </w:pPr>
      <w:bookmarkStart w:id="87" w:name="_Toc496681990"/>
      <w:bookmarkStart w:id="88" w:name="_Toc496682157"/>
      <w:bookmarkStart w:id="89" w:name="_Toc496681991"/>
      <w:bookmarkStart w:id="90" w:name="_Toc496682158"/>
      <w:bookmarkStart w:id="91" w:name="_Toc496681992"/>
      <w:bookmarkStart w:id="92" w:name="_Toc496682159"/>
      <w:bookmarkStart w:id="93" w:name="_Toc496681993"/>
      <w:bookmarkStart w:id="94" w:name="_Toc496682160"/>
      <w:bookmarkStart w:id="95" w:name="_Toc496681994"/>
      <w:bookmarkStart w:id="96" w:name="_Toc496682161"/>
      <w:bookmarkStart w:id="97" w:name="_Toc36129803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t>Reporting</w:t>
      </w:r>
      <w:bookmarkEnd w:id="97"/>
    </w:p>
    <w:p w14:paraId="5B5288D5" w14:textId="77777777" w:rsidR="001F3681" w:rsidRDefault="00DC6AE6" w:rsidP="00DC6AE6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1F3681">
        <w:rPr>
          <w:lang w:eastAsia="de-DE"/>
        </w:rPr>
        <w:t xml:space="preserve">location and state of the MAtoN </w:t>
      </w:r>
      <w:r w:rsidR="00CB7BE6">
        <w:rPr>
          <w:lang w:eastAsia="de-DE"/>
        </w:rPr>
        <w:t>will</w:t>
      </w:r>
      <w:r w:rsidR="001F3681">
        <w:rPr>
          <w:lang w:eastAsia="de-DE"/>
        </w:rPr>
        <w:t xml:space="preserve"> be of interest to local and national authorities, transiting </w:t>
      </w:r>
      <w:r w:rsidR="00D77909">
        <w:rPr>
          <w:lang w:eastAsia="de-DE"/>
        </w:rPr>
        <w:t>vessels</w:t>
      </w:r>
      <w:r w:rsidR="001F3681">
        <w:rPr>
          <w:lang w:eastAsia="de-DE"/>
        </w:rPr>
        <w:t xml:space="preserve"> and those operating in the vicinity of the hazard.</w:t>
      </w:r>
    </w:p>
    <w:p w14:paraId="08584B45" w14:textId="77777777" w:rsidR="00DC6AE6" w:rsidRDefault="00D77909" w:rsidP="00DC6AE6">
      <w:pPr>
        <w:pStyle w:val="BodyText"/>
        <w:rPr>
          <w:lang w:eastAsia="de-DE"/>
        </w:rPr>
      </w:pPr>
      <w:r>
        <w:rPr>
          <w:lang w:eastAsia="de-DE"/>
        </w:rPr>
        <w:t xml:space="preserve">Therefore, information on the </w:t>
      </w:r>
      <w:r w:rsidR="00DC6AE6">
        <w:t>MAtoN</w:t>
      </w:r>
      <w:r w:rsidR="00DC6AE6">
        <w:rPr>
          <w:lang w:eastAsia="de-DE"/>
        </w:rPr>
        <w:t xml:space="preserve"> should be </w:t>
      </w:r>
      <w:r w:rsidR="00CB7BE6">
        <w:rPr>
          <w:lang w:eastAsia="de-DE"/>
        </w:rPr>
        <w:t xml:space="preserve">reported </w:t>
      </w:r>
      <w:r w:rsidR="00DC6AE6">
        <w:rPr>
          <w:lang w:eastAsia="de-DE"/>
        </w:rPr>
        <w:t>when it:</w:t>
      </w:r>
    </w:p>
    <w:p w14:paraId="3E4C3B28" w14:textId="77777777" w:rsidR="00DC6AE6" w:rsidRDefault="00CB7B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lastRenderedPageBreak/>
        <w:t>Is deployed</w:t>
      </w:r>
    </w:p>
    <w:p w14:paraId="0D864400" w14:textId="77777777" w:rsidR="00CB7BE6" w:rsidRDefault="00CB7BE6" w:rsidP="00CB7B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Is altered or changed</w:t>
      </w:r>
      <w:r w:rsidRPr="00CB7BE6">
        <w:t xml:space="preserve"> </w:t>
      </w:r>
    </w:p>
    <w:p w14:paraId="72EB7F00" w14:textId="77777777" w:rsidR="00DC6AE6" w:rsidRDefault="00CB7BE6" w:rsidP="00CB7B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CB7BE6">
        <w:t>Is removed</w:t>
      </w:r>
      <w:r>
        <w:t xml:space="preserve">, </w:t>
      </w:r>
      <w:r w:rsidRPr="00CB7BE6">
        <w:t>discontinued</w:t>
      </w:r>
      <w:r>
        <w:t xml:space="preserve"> or </w:t>
      </w:r>
      <w:r w:rsidRPr="00CB7BE6">
        <w:t>damaged</w:t>
      </w:r>
    </w:p>
    <w:p w14:paraId="4F741C62" w14:textId="77777777" w:rsidR="00CB7BE6" w:rsidRPr="00371BEF" w:rsidRDefault="00CB7B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Is missing</w:t>
      </w:r>
    </w:p>
    <w:p w14:paraId="3471BF55" w14:textId="77777777" w:rsidR="00CB7B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DC6AE6">
        <w:t xml:space="preserve">Leaves </w:t>
      </w:r>
      <w:r w:rsidR="00CB7BE6">
        <w:t xml:space="preserve">or drifts </w:t>
      </w:r>
      <w:r w:rsidR="00C82918">
        <w:t xml:space="preserve">beyond </w:t>
      </w:r>
      <w:r w:rsidRPr="00DC6AE6">
        <w:t xml:space="preserve">its </w:t>
      </w:r>
      <w:r w:rsidR="00CB7BE6">
        <w:t xml:space="preserve">pre-determined </w:t>
      </w:r>
      <w:r w:rsidRPr="00DC6AE6">
        <w:t xml:space="preserve">coverage </w:t>
      </w:r>
      <w:r w:rsidR="00CB7BE6">
        <w:t>area</w:t>
      </w:r>
    </w:p>
    <w:p w14:paraId="0AC5F0A8" w14:textId="77777777" w:rsidR="00DC6AE6" w:rsidRPr="00DC6AE6" w:rsidRDefault="00CB7B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D</w:t>
      </w:r>
      <w:r w:rsidR="00DC6AE6" w:rsidRPr="00DC6AE6">
        <w:t xml:space="preserve">rifts into the waters of an </w:t>
      </w:r>
      <w:del w:id="98" w:author="Tom Southall" w:date="2020-03-26T15:20:00Z">
        <w:r w:rsidR="00DC6AE6" w:rsidRPr="00DC6AE6" w:rsidDel="00721932">
          <w:delText xml:space="preserve">adjacent </w:delText>
        </w:r>
      </w:del>
      <w:ins w:id="99" w:author="Tom Southall" w:date="2020-03-26T15:20:00Z">
        <w:r w:rsidR="00721932">
          <w:t xml:space="preserve"> other</w:t>
        </w:r>
      </w:ins>
      <w:ins w:id="100" w:author="Tom Southall" w:date="2020-03-26T15:21:00Z">
        <w:r w:rsidR="00317034">
          <w:t>(s)</w:t>
        </w:r>
      </w:ins>
      <w:ins w:id="101" w:author="Tom Southall" w:date="2020-03-26T15:20:00Z">
        <w:r w:rsidR="00317034">
          <w:t xml:space="preserve"> </w:t>
        </w:r>
      </w:ins>
      <w:r w:rsidR="00A66025">
        <w:t>C</w:t>
      </w:r>
      <w:r w:rsidR="00C82918">
        <w:t xml:space="preserve">ompetent </w:t>
      </w:r>
      <w:r w:rsidR="00A66025">
        <w:t>A</w:t>
      </w:r>
      <w:r w:rsidR="00C82918">
        <w:t>uthority</w:t>
      </w:r>
    </w:p>
    <w:p w14:paraId="66AE0929" w14:textId="77777777" w:rsidR="00CF1414" w:rsidRDefault="00CB7BE6" w:rsidP="00B50D67">
      <w:pPr>
        <w:pStyle w:val="Bullet1"/>
        <w:numPr>
          <w:ilvl w:val="0"/>
          <w:numId w:val="0"/>
        </w:numPr>
        <w:spacing w:line="240" w:lineRule="auto"/>
        <w:ind w:left="425" w:hanging="425"/>
        <w:jc w:val="both"/>
        <w:outlineLvl w:val="0"/>
      </w:pPr>
      <w:r>
        <w:t xml:space="preserve">If </w:t>
      </w:r>
      <w:r w:rsidR="00DC6AE6">
        <w:t>possible</w:t>
      </w:r>
      <w:r>
        <w:t xml:space="preserve">, the location of a MAtoN </w:t>
      </w:r>
      <w:r w:rsidR="00DC6AE6">
        <w:t xml:space="preserve">should be </w:t>
      </w:r>
      <w:r>
        <w:t>‘</w:t>
      </w:r>
      <w:r w:rsidR="00DC6AE6">
        <w:t>self-reporting</w:t>
      </w:r>
      <w:r>
        <w:t>’</w:t>
      </w:r>
      <w:r w:rsidR="00DC6AE6">
        <w:t xml:space="preserve"> </w:t>
      </w:r>
      <w:r w:rsidR="00D55C73">
        <w:t xml:space="preserve">and detectable </w:t>
      </w:r>
      <w:r w:rsidR="00DC6AE6">
        <w:t>to vessels i</w:t>
      </w:r>
      <w:r w:rsidR="00FD5F30">
        <w:t>n the vicinity (light</w:t>
      </w:r>
      <w:r>
        <w:t>/AIS etc.)</w:t>
      </w:r>
    </w:p>
    <w:p w14:paraId="3DA26993" w14:textId="77777777" w:rsidR="00404AC1" w:rsidRDefault="004A65E8" w:rsidP="00404AC1">
      <w:pPr>
        <w:pStyle w:val="Heading1"/>
      </w:pPr>
      <w:bookmarkStart w:id="102" w:name="_Toc36129804"/>
      <w:r>
        <w:rPr>
          <w:caps w:val="0"/>
        </w:rPr>
        <w:t>DISCONTINUATION OF MATON</w:t>
      </w:r>
      <w:bookmarkEnd w:id="102"/>
    </w:p>
    <w:p w14:paraId="1AB8F3A9" w14:textId="77777777" w:rsidR="00400206" w:rsidRDefault="00400206" w:rsidP="00400206">
      <w:pPr>
        <w:pStyle w:val="Heading1separatationline"/>
      </w:pPr>
    </w:p>
    <w:p w14:paraId="44686A45" w14:textId="77777777" w:rsidR="00400206" w:rsidRDefault="00400206" w:rsidP="00400206">
      <w:pPr>
        <w:pStyle w:val="BodyText"/>
      </w:pPr>
      <w:r>
        <w:t xml:space="preserve">MAtoN may be discontinued when the </w:t>
      </w:r>
      <w:r w:rsidR="00A66025">
        <w:t>C</w:t>
      </w:r>
      <w:r>
        <w:t xml:space="preserve">ompetent </w:t>
      </w:r>
      <w:r w:rsidR="00A66025">
        <w:t>A</w:t>
      </w:r>
      <w:r>
        <w:t xml:space="preserve">uthority considers that the hazard to navigation no longer exists.  This decision can be made by the </w:t>
      </w:r>
      <w:r w:rsidR="00A66025">
        <w:t>C</w:t>
      </w:r>
      <w:r>
        <w:t xml:space="preserve">ompetent </w:t>
      </w:r>
      <w:r w:rsidR="00A66025">
        <w:t>A</w:t>
      </w:r>
      <w:r>
        <w:t xml:space="preserve">uthority either </w:t>
      </w:r>
      <w:r w:rsidR="00C82918">
        <w:t>unilaterally,</w:t>
      </w:r>
      <w:r>
        <w:t xml:space="preserve"> or after consultation with other stakeholders.</w:t>
      </w:r>
    </w:p>
    <w:p w14:paraId="74C1A4AB" w14:textId="77777777" w:rsidR="00400206" w:rsidRDefault="00400206" w:rsidP="00400206">
      <w:pPr>
        <w:pStyle w:val="BodyText"/>
      </w:pPr>
      <w:r>
        <w:t xml:space="preserve">When discontinuing a MAtoN, </w:t>
      </w:r>
      <w:r w:rsidR="00A66025">
        <w:t>C</w:t>
      </w:r>
      <w:r>
        <w:t xml:space="preserve">ompetent </w:t>
      </w:r>
      <w:r w:rsidR="00A66025">
        <w:t>A</w:t>
      </w:r>
      <w:r>
        <w:t xml:space="preserve">uthorities should ensure that </w:t>
      </w:r>
      <w:r w:rsidR="00110F73">
        <w:t xml:space="preserve">any </w:t>
      </w:r>
      <w:r>
        <w:t>MAtoN</w:t>
      </w:r>
      <w:r w:rsidR="00110F73">
        <w:t>,</w:t>
      </w:r>
      <w:r>
        <w:t xml:space="preserve"> </w:t>
      </w:r>
      <w:r w:rsidR="00110F73">
        <w:t xml:space="preserve">whether physical or virtual, are removed entirely, so as to </w:t>
      </w:r>
      <w:r>
        <w:t>avoid confus</w:t>
      </w:r>
      <w:r w:rsidR="00C82918">
        <w:t xml:space="preserve">ing </w:t>
      </w:r>
      <w:r>
        <w:t>mari</w:t>
      </w:r>
      <w:r w:rsidR="00110F73">
        <w:t>n</w:t>
      </w:r>
      <w:r>
        <w:t>ers</w:t>
      </w:r>
      <w:r w:rsidR="00110F73">
        <w:t xml:space="preserve">. </w:t>
      </w:r>
      <w:r w:rsidR="003117F6">
        <w:t xml:space="preserve">This is to be followed promptly by the promulgation of appropriate MSI to </w:t>
      </w:r>
      <w:r w:rsidR="00D55C73">
        <w:t xml:space="preserve">either cancel existing MSI, or </w:t>
      </w:r>
      <w:r w:rsidR="00FF3D88">
        <w:t>advi</w:t>
      </w:r>
      <w:r w:rsidR="00D55C73">
        <w:t>s</w:t>
      </w:r>
      <w:r w:rsidR="00FF3D88">
        <w:t>e</w:t>
      </w:r>
      <w:r w:rsidR="003117F6">
        <w:t xml:space="preserve"> of the discontinuation</w:t>
      </w:r>
      <w:r w:rsidR="00D55C73">
        <w:t xml:space="preserve"> of the MAtoN</w:t>
      </w:r>
      <w:r w:rsidR="003117F6">
        <w:t>.</w:t>
      </w:r>
    </w:p>
    <w:p w14:paraId="43D71886" w14:textId="77777777" w:rsidR="003117F6" w:rsidRDefault="00026AE1" w:rsidP="003117F6">
      <w:pPr>
        <w:pStyle w:val="BodyText"/>
      </w:pPr>
      <w:r>
        <w:t xml:space="preserve">When a moving hazard stops moving it can no longer be marked by a MAtoN and a transition to another appropriate AtoN must be done in a timely manner. </w:t>
      </w:r>
      <w:r w:rsidR="003117F6">
        <w:t xml:space="preserve">This is to be followed promptly by the promulgation of appropriate MSI to </w:t>
      </w:r>
      <w:r w:rsidR="00FF3D88">
        <w:t>advi</w:t>
      </w:r>
      <w:r w:rsidR="00D55C73">
        <w:t>s</w:t>
      </w:r>
      <w:r w:rsidR="00FF3D88">
        <w:t>e</w:t>
      </w:r>
      <w:r w:rsidR="003117F6">
        <w:t xml:space="preserve"> of the change.</w:t>
      </w:r>
    </w:p>
    <w:p w14:paraId="2DD4B5CE" w14:textId="77777777" w:rsidR="00110F73" w:rsidRDefault="00110F73" w:rsidP="00400206">
      <w:pPr>
        <w:pStyle w:val="BodyText"/>
      </w:pPr>
      <w:r>
        <w:t xml:space="preserve">If the hazard location involves two or more national jurisdictions, it is essential that </w:t>
      </w:r>
      <w:r w:rsidR="00A66025">
        <w:t>Competent Authorities</w:t>
      </w:r>
      <w:r>
        <w:t xml:space="preserve"> liaise with each other regarding the marking of the hazard and promulgation of information on it.</w:t>
      </w:r>
    </w:p>
    <w:p w14:paraId="544F739B" w14:textId="77777777" w:rsidR="00D55C73" w:rsidRDefault="00D55C73" w:rsidP="00400206">
      <w:pPr>
        <w:pStyle w:val="BodyText"/>
      </w:pPr>
    </w:p>
    <w:p w14:paraId="0712DE00" w14:textId="77777777" w:rsidR="00021E5E" w:rsidRPr="00021E5E" w:rsidRDefault="004A65E8" w:rsidP="00021E5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caps w:val="0"/>
        </w:rPr>
      </w:pPr>
      <w:bookmarkStart w:id="103" w:name="_Toc34823298"/>
      <w:bookmarkStart w:id="104" w:name="_Toc34823299"/>
      <w:bookmarkStart w:id="105" w:name="_Toc496681996"/>
      <w:bookmarkStart w:id="106" w:name="_Toc496682163"/>
      <w:bookmarkStart w:id="107" w:name="_Toc496681997"/>
      <w:bookmarkStart w:id="108" w:name="_Toc496682164"/>
      <w:bookmarkStart w:id="109" w:name="_Toc496681998"/>
      <w:bookmarkStart w:id="110" w:name="_Toc496682165"/>
      <w:bookmarkStart w:id="111" w:name="_Toc496681999"/>
      <w:bookmarkStart w:id="112" w:name="_Toc496682166"/>
      <w:bookmarkStart w:id="113" w:name="_Toc496682000"/>
      <w:bookmarkStart w:id="114" w:name="_Toc496682167"/>
      <w:bookmarkStart w:id="115" w:name="_Toc496682001"/>
      <w:bookmarkStart w:id="116" w:name="_Toc496682168"/>
      <w:bookmarkStart w:id="117" w:name="_Toc449013365"/>
      <w:bookmarkStart w:id="118" w:name="_Toc36129805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r>
        <w:rPr>
          <w:caps w:val="0"/>
        </w:rPr>
        <w:t>RESPONSIBILITIES</w:t>
      </w:r>
      <w:bookmarkEnd w:id="117"/>
      <w:bookmarkEnd w:id="118"/>
    </w:p>
    <w:p w14:paraId="79DB4D8F" w14:textId="77777777" w:rsidR="00021E5E" w:rsidRPr="00021E5E" w:rsidRDefault="00EB15E3" w:rsidP="00B50D67">
      <w:pPr>
        <w:pStyle w:val="Heading2"/>
      </w:pPr>
      <w:bookmarkStart w:id="119" w:name="_Toc36129806"/>
      <w:bookmarkStart w:id="120" w:name="_Toc449013366"/>
      <w:r>
        <w:t>Designated Responsibility</w:t>
      </w:r>
      <w:bookmarkEnd w:id="119"/>
    </w:p>
    <w:p w14:paraId="6D3B638D" w14:textId="77777777" w:rsidR="00B50D67" w:rsidRDefault="00DC6AE6" w:rsidP="00787C8A">
      <w:pPr>
        <w:pStyle w:val="Bullet1"/>
        <w:numPr>
          <w:ilvl w:val="0"/>
          <w:numId w:val="0"/>
        </w:numPr>
      </w:pPr>
      <w:r w:rsidRPr="000D47AF">
        <w:t>M</w:t>
      </w:r>
      <w:r w:rsidR="00110F73">
        <w:t>obile h</w:t>
      </w:r>
      <w:r w:rsidRPr="000D47AF">
        <w:t>azards pose a risk to safe navigation. Therefore</w:t>
      </w:r>
      <w:r w:rsidR="00D6635B">
        <w:t>,</w:t>
      </w:r>
      <w:r w:rsidRPr="000D47AF">
        <w:t xml:space="preserve"> the perso</w:t>
      </w:r>
      <w:r w:rsidR="00110F73">
        <w:t>n, organisation, or government</w:t>
      </w:r>
      <w:r w:rsidRPr="000D47AF">
        <w:t xml:space="preserve"> body </w:t>
      </w:r>
      <w:r w:rsidR="00110F73">
        <w:t xml:space="preserve">responsible for the mobile </w:t>
      </w:r>
      <w:r w:rsidRPr="000D47AF">
        <w:t>hazard,</w:t>
      </w:r>
      <w:r w:rsidR="00110F73" w:rsidRPr="00110F73">
        <w:t xml:space="preserve"> </w:t>
      </w:r>
      <w:r w:rsidR="00787C8A">
        <w:t xml:space="preserve">should </w:t>
      </w:r>
      <w:r w:rsidR="00C82918">
        <w:t xml:space="preserve">ensure that the hazard is marked </w:t>
      </w:r>
      <w:r w:rsidR="00787C8A">
        <w:t>adequately.</w:t>
      </w:r>
    </w:p>
    <w:p w14:paraId="1A671B20" w14:textId="77777777" w:rsidR="00B50D67" w:rsidRDefault="00D471FD" w:rsidP="00D471FD">
      <w:pPr>
        <w:pStyle w:val="BodyText"/>
      </w:pPr>
      <w:r w:rsidRPr="000D47AF">
        <w:t xml:space="preserve">The </w:t>
      </w:r>
      <w:r w:rsidR="00A66025">
        <w:t>Competent Authority</w:t>
      </w:r>
      <w:r w:rsidRPr="000D47AF">
        <w:t xml:space="preserve"> should advise the person, organisation, or government body responsible for marking the</w:t>
      </w:r>
      <w:r>
        <w:t xml:space="preserve"> mobile </w:t>
      </w:r>
      <w:r w:rsidRPr="000D47AF">
        <w:t xml:space="preserve">hazard </w:t>
      </w:r>
      <w:r>
        <w:t xml:space="preserve">of </w:t>
      </w:r>
      <w:r w:rsidRPr="000D47AF">
        <w:t xml:space="preserve">the correct </w:t>
      </w:r>
      <w:r>
        <w:t xml:space="preserve">guidance for use of </w:t>
      </w:r>
      <w:r w:rsidRPr="000D47AF">
        <w:t>MAtoN</w:t>
      </w:r>
      <w:r>
        <w:t>.</w:t>
      </w:r>
      <w:r w:rsidR="00B50D67">
        <w:t xml:space="preserve"> </w:t>
      </w:r>
    </w:p>
    <w:p w14:paraId="00885AB1" w14:textId="77777777" w:rsidR="00B50D67" w:rsidRPr="000D47AF" w:rsidRDefault="00B50D67" w:rsidP="00B50D67">
      <w:pPr>
        <w:pStyle w:val="BodyText"/>
      </w:pPr>
      <w:r w:rsidRPr="000D47AF">
        <w:t xml:space="preserve">The </w:t>
      </w:r>
      <w:r w:rsidR="00A66025">
        <w:t>Competent Authority</w:t>
      </w:r>
      <w:r>
        <w:t xml:space="preserve"> must</w:t>
      </w:r>
      <w:r w:rsidRPr="000D47AF">
        <w:t xml:space="preserve"> advise the person, organisation, or</w:t>
      </w:r>
      <w:r>
        <w:t xml:space="preserve"> government body</w:t>
      </w:r>
      <w:r w:rsidRPr="000D47AF">
        <w:t xml:space="preserve"> marking the</w:t>
      </w:r>
      <w:r>
        <w:t xml:space="preserve"> mobile </w:t>
      </w:r>
      <w:r w:rsidRPr="000D47AF">
        <w:t xml:space="preserve">hazard </w:t>
      </w:r>
      <w:r>
        <w:t xml:space="preserve">of their responsibility to remove, and report, the </w:t>
      </w:r>
      <w:r w:rsidRPr="000D47AF">
        <w:t>MAtoN</w:t>
      </w:r>
      <w:r>
        <w:t xml:space="preserve"> when no longer required. </w:t>
      </w:r>
    </w:p>
    <w:p w14:paraId="0A0BF765" w14:textId="77777777" w:rsidR="00845A44" w:rsidRPr="00855820" w:rsidRDefault="00EB15E3" w:rsidP="00B50D67">
      <w:pPr>
        <w:pStyle w:val="Heading2"/>
      </w:pPr>
      <w:bookmarkStart w:id="121" w:name="_Toc34823302"/>
      <w:bookmarkStart w:id="122" w:name="_Toc34823303"/>
      <w:bookmarkStart w:id="123" w:name="_Toc36129807"/>
      <w:bookmarkEnd w:id="120"/>
      <w:bookmarkEnd w:id="121"/>
      <w:bookmarkEnd w:id="122"/>
      <w:r>
        <w:t>Inability to Monitor</w:t>
      </w:r>
      <w:bookmarkEnd w:id="123"/>
    </w:p>
    <w:p w14:paraId="081E8EED" w14:textId="77777777" w:rsidR="00DC6AE6" w:rsidRPr="000D47AF" w:rsidRDefault="00DC6AE6" w:rsidP="00DC6AE6">
      <w:pPr>
        <w:pStyle w:val="BodyText"/>
      </w:pPr>
      <w:r w:rsidRPr="000D47AF">
        <w:t xml:space="preserve">A </w:t>
      </w:r>
      <w:r w:rsidR="00A66025">
        <w:t>Competent Authority</w:t>
      </w:r>
      <w:r w:rsidRPr="000D47AF">
        <w:t xml:space="preserve"> or owner </w:t>
      </w:r>
      <w:r w:rsidR="004A65E8">
        <w:t xml:space="preserve">that loses the </w:t>
      </w:r>
      <w:r w:rsidRPr="000D47AF">
        <w:t>ability to monitor the</w:t>
      </w:r>
      <w:r w:rsidR="004A65E8">
        <w:t xml:space="preserve">ir </w:t>
      </w:r>
      <w:r w:rsidR="00AF30C9" w:rsidRPr="00DC6AE6">
        <w:t>MAtoN</w:t>
      </w:r>
      <w:r w:rsidR="004A65E8">
        <w:t xml:space="preserve">, </w:t>
      </w:r>
      <w:r w:rsidR="00C82918">
        <w:t xml:space="preserve">still </w:t>
      </w:r>
      <w:r w:rsidRPr="000D47AF">
        <w:t xml:space="preserve">retains responsibility </w:t>
      </w:r>
      <w:r w:rsidR="004A65E8">
        <w:t xml:space="preserve">for it </w:t>
      </w:r>
      <w:r w:rsidRPr="000D47AF">
        <w:t>until either:</w:t>
      </w:r>
    </w:p>
    <w:p w14:paraId="175DBFAD" w14:textId="77777777" w:rsidR="00DC6AE6" w:rsidRPr="000D47AF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0D47AF">
        <w:t xml:space="preserve">The MAtoN is retrieved, </w:t>
      </w:r>
      <w:r w:rsidR="00C82918">
        <w:t xml:space="preserve">has sunk, or </w:t>
      </w:r>
      <w:r w:rsidRPr="000D47AF">
        <w:t xml:space="preserve">is </w:t>
      </w:r>
      <w:r w:rsidR="004A65E8">
        <w:t>no longer a hazard to navigation; or</w:t>
      </w:r>
      <w:r w:rsidRPr="000D47AF">
        <w:t xml:space="preserve">  </w:t>
      </w:r>
    </w:p>
    <w:p w14:paraId="028F1A11" w14:textId="77777777" w:rsidR="00DC6AE6" w:rsidRPr="000D47AF" w:rsidRDefault="004A65E8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R</w:t>
      </w:r>
      <w:r w:rsidR="00DC6AE6" w:rsidRPr="000D47AF">
        <w:t xml:space="preserve">esponsibility </w:t>
      </w:r>
      <w:r>
        <w:t xml:space="preserve">for the MAtoN </w:t>
      </w:r>
      <w:r w:rsidR="00DC6AE6" w:rsidRPr="000D47AF">
        <w:t xml:space="preserve">is assumed by another operator or </w:t>
      </w:r>
      <w:r w:rsidR="00A66025">
        <w:t>Competent Authority</w:t>
      </w:r>
      <w:r w:rsidR="00DC6AE6" w:rsidRPr="000D47AF">
        <w:t>.</w:t>
      </w:r>
    </w:p>
    <w:p w14:paraId="46E7C193" w14:textId="77777777" w:rsidR="00845A44" w:rsidRDefault="000D47AF" w:rsidP="00B50D67">
      <w:pPr>
        <w:pStyle w:val="Heading2"/>
      </w:pPr>
      <w:bookmarkStart w:id="124" w:name="_Toc496682005"/>
      <w:bookmarkStart w:id="125" w:name="_Toc496682172"/>
      <w:bookmarkStart w:id="126" w:name="_Toc496682006"/>
      <w:bookmarkStart w:id="127" w:name="_Toc496682173"/>
      <w:bookmarkStart w:id="128" w:name="_Toc496682007"/>
      <w:bookmarkStart w:id="129" w:name="_Toc496682174"/>
      <w:bookmarkStart w:id="130" w:name="_Toc36129808"/>
      <w:bookmarkEnd w:id="124"/>
      <w:bookmarkEnd w:id="125"/>
      <w:bookmarkEnd w:id="126"/>
      <w:bookmarkEnd w:id="127"/>
      <w:bookmarkEnd w:id="128"/>
      <w:bookmarkEnd w:id="129"/>
      <w:r>
        <w:t xml:space="preserve">Cost of </w:t>
      </w:r>
      <w:r w:rsidR="000870B0">
        <w:t xml:space="preserve">Marking </w:t>
      </w:r>
      <w:r w:rsidR="00EA2EEC">
        <w:t>M</w:t>
      </w:r>
      <w:r w:rsidR="00524344">
        <w:t xml:space="preserve">obile </w:t>
      </w:r>
      <w:r w:rsidR="00EA2EEC">
        <w:t>H</w:t>
      </w:r>
      <w:r w:rsidR="00524344">
        <w:t>azards</w:t>
      </w:r>
      <w:bookmarkEnd w:id="130"/>
    </w:p>
    <w:p w14:paraId="43F9F9DC" w14:textId="77777777" w:rsidR="004A65E8" w:rsidRDefault="00845A44" w:rsidP="00845A44">
      <w:pPr>
        <w:pStyle w:val="BodyText"/>
      </w:pPr>
      <w:r w:rsidRPr="009653BC">
        <w:t xml:space="preserve">In accordance with article 10 of the </w:t>
      </w:r>
      <w:r w:rsidR="004A65E8">
        <w:t>Nairobi International Convention on the Removal of Wrecks 2007</w:t>
      </w:r>
      <w:r w:rsidRPr="009653BC">
        <w:t xml:space="preserve">, the registered owner of the wreck </w:t>
      </w:r>
      <w:r w:rsidR="00524344">
        <w:t>may</w:t>
      </w:r>
      <w:r w:rsidRPr="009653BC">
        <w:t xml:space="preserve"> be li</w:t>
      </w:r>
      <w:r w:rsidR="00713110">
        <w:t xml:space="preserve">able for the costs of locating, marking and removing the hazard.  </w:t>
      </w:r>
    </w:p>
    <w:p w14:paraId="67F350B9" w14:textId="77777777" w:rsidR="0042565E" w:rsidRDefault="004A65E8" w:rsidP="000D47AF">
      <w:pPr>
        <w:pStyle w:val="Heading1"/>
      </w:pPr>
      <w:bookmarkStart w:id="131" w:name="_Toc22154462"/>
      <w:bookmarkStart w:id="132" w:name="_Toc36129809"/>
      <w:bookmarkEnd w:id="131"/>
      <w:r>
        <w:rPr>
          <w:caps w:val="0"/>
        </w:rPr>
        <w:lastRenderedPageBreak/>
        <w:t>REFERENCES</w:t>
      </w:r>
      <w:bookmarkEnd w:id="132"/>
    </w:p>
    <w:p w14:paraId="7C6CC74F" w14:textId="77777777" w:rsidR="00AD68C5" w:rsidRDefault="00AD68C5" w:rsidP="000D47AF">
      <w:pPr>
        <w:pStyle w:val="Heading1separatationline"/>
      </w:pPr>
    </w:p>
    <w:p w14:paraId="7427166F" w14:textId="77777777" w:rsidR="00AD68C5" w:rsidRDefault="00AD68C5" w:rsidP="000D47AF">
      <w:pPr>
        <w:pStyle w:val="BodyText"/>
        <w:numPr>
          <w:ilvl w:val="1"/>
          <w:numId w:val="43"/>
        </w:numPr>
      </w:pPr>
      <w:r>
        <w:t>IALA Recommendation O-139 on The Marking of Man-Made Offshore Structures</w:t>
      </w:r>
    </w:p>
    <w:p w14:paraId="1A94A087" w14:textId="77777777" w:rsidR="00AD68C5" w:rsidRDefault="00AD68C5" w:rsidP="000D47AF">
      <w:pPr>
        <w:pStyle w:val="BodyText"/>
        <w:numPr>
          <w:ilvl w:val="1"/>
          <w:numId w:val="43"/>
        </w:numPr>
      </w:pPr>
      <w:r>
        <w:t xml:space="preserve">IALA Recommendation E‐110  </w:t>
      </w:r>
      <w:r w:rsidR="004A65E8">
        <w:t>Rhythmic Characters of Lights On Aids To Navigation</w:t>
      </w:r>
    </w:p>
    <w:p w14:paraId="52DF2CCA" w14:textId="77777777" w:rsidR="00AD68C5" w:rsidRDefault="00AD68C5" w:rsidP="000D47AF">
      <w:pPr>
        <w:pStyle w:val="BodyText"/>
        <w:numPr>
          <w:ilvl w:val="1"/>
          <w:numId w:val="43"/>
        </w:numPr>
      </w:pPr>
      <w:r>
        <w:t>IALA Recommendation O-143 Virtual Aids to Navigation</w:t>
      </w:r>
    </w:p>
    <w:p w14:paraId="56C621BD" w14:textId="77777777" w:rsidR="00AF30C9" w:rsidRPr="000D47AF" w:rsidRDefault="004A65E8" w:rsidP="000D47AF">
      <w:pPr>
        <w:pStyle w:val="BodyText"/>
        <w:numPr>
          <w:ilvl w:val="1"/>
          <w:numId w:val="43"/>
        </w:numPr>
      </w:pPr>
      <w:r>
        <w:t xml:space="preserve">The Nairobi International Convention on the Removal of Wrecks adopted Nairobi, 18 May 2007 </w:t>
      </w:r>
    </w:p>
    <w:p w14:paraId="0A094022" w14:textId="77777777" w:rsidR="0025603B" w:rsidRPr="00FA5291" w:rsidRDefault="0025603B">
      <w:pPr>
        <w:pStyle w:val="BodyText"/>
        <w:numPr>
          <w:ilvl w:val="1"/>
          <w:numId w:val="43"/>
        </w:numPr>
      </w:pPr>
      <w:r w:rsidRPr="0025603B">
        <w:t>IALA Recommendation R 1015 Marking Of Hazardous Wrecks</w:t>
      </w:r>
      <w:r w:rsidR="00713110">
        <w:t xml:space="preserve"> </w:t>
      </w:r>
    </w:p>
    <w:p w14:paraId="1FEDFE1E" w14:textId="77777777" w:rsidR="0025603B" w:rsidRPr="00FA5291" w:rsidRDefault="0025603B" w:rsidP="0025603B">
      <w:pPr>
        <w:pStyle w:val="BodyText"/>
        <w:numPr>
          <w:ilvl w:val="1"/>
          <w:numId w:val="43"/>
        </w:numPr>
      </w:pPr>
      <w:r w:rsidRPr="0025603B">
        <w:t>IALA Guideline 1046 Response Plan for the Marking of New Wrecks</w:t>
      </w:r>
      <w:r w:rsidR="00713110">
        <w:t xml:space="preserve"> </w:t>
      </w:r>
    </w:p>
    <w:p w14:paraId="083A8D5C" w14:textId="77777777" w:rsidR="0039234D" w:rsidRPr="00E60514" w:rsidRDefault="0039234D" w:rsidP="000D47AF">
      <w:pPr>
        <w:pStyle w:val="BodyText"/>
        <w:numPr>
          <w:ilvl w:val="1"/>
          <w:numId w:val="43"/>
        </w:numPr>
        <w:rPr>
          <w:lang w:val="es-MX"/>
        </w:rPr>
      </w:pPr>
      <w:r w:rsidRPr="00DC7360">
        <w:rPr>
          <w:lang w:val="es-MX"/>
        </w:rPr>
        <w:t>ITU document 5B/411-E November 2017</w:t>
      </w:r>
    </w:p>
    <w:p w14:paraId="494DA856" w14:textId="77777777" w:rsidR="00602FED" w:rsidRPr="004731AD" w:rsidRDefault="005609AE" w:rsidP="005609AE">
      <w:pPr>
        <w:pStyle w:val="BodyText"/>
        <w:numPr>
          <w:ilvl w:val="1"/>
          <w:numId w:val="43"/>
        </w:numPr>
        <w:rPr>
          <w:lang w:val="es-MX"/>
        </w:rPr>
      </w:pPr>
      <w:r w:rsidRPr="005609AE">
        <w:rPr>
          <w:lang w:val="es-MX"/>
        </w:rPr>
        <w:t>ITU-R M.1371-5</w:t>
      </w:r>
      <w:r>
        <w:rPr>
          <w:lang w:val="es-MX"/>
        </w:rPr>
        <w:t xml:space="preserve"> - </w:t>
      </w:r>
      <w:r w:rsidRPr="005609AE">
        <w:rPr>
          <w:lang w:val="es-MX"/>
        </w:rPr>
        <w:t>Technical characteristics for an automatic identification system using time division multiple access in the VHF maritime mobile frequency band</w:t>
      </w:r>
    </w:p>
    <w:p w14:paraId="433FC1A2" w14:textId="77777777" w:rsidR="0015643E" w:rsidRDefault="004A65E8" w:rsidP="000D47AF">
      <w:pPr>
        <w:pStyle w:val="Heading1"/>
      </w:pPr>
      <w:bookmarkStart w:id="133" w:name="_Toc36129810"/>
      <w:r>
        <w:rPr>
          <w:caps w:val="0"/>
        </w:rPr>
        <w:t>ACRONYMS</w:t>
      </w:r>
      <w:bookmarkEnd w:id="133"/>
    </w:p>
    <w:p w14:paraId="7FF44E3F" w14:textId="77777777" w:rsidR="0015643E" w:rsidRDefault="0015643E" w:rsidP="000D47AF">
      <w:pPr>
        <w:pStyle w:val="Heading1separatationline"/>
      </w:pPr>
    </w:p>
    <w:p w14:paraId="5A6AC464" w14:textId="77777777" w:rsidR="0015643E" w:rsidRDefault="0015643E">
      <w:pPr>
        <w:pStyle w:val="BodyText"/>
      </w:pPr>
      <w:r>
        <w:t>AIS</w:t>
      </w:r>
      <w:r>
        <w:tab/>
      </w:r>
      <w:r>
        <w:tab/>
        <w:t>Automatic Identification System</w:t>
      </w:r>
    </w:p>
    <w:p w14:paraId="4CFD13C2" w14:textId="77777777" w:rsidR="0015643E" w:rsidRDefault="0015643E">
      <w:pPr>
        <w:pStyle w:val="BodyText"/>
      </w:pPr>
      <w:r>
        <w:t>MAtoN</w:t>
      </w:r>
      <w:r>
        <w:tab/>
      </w:r>
      <w:r>
        <w:tab/>
        <w:t>Mobile Aid(s) to Navigation</w:t>
      </w:r>
    </w:p>
    <w:p w14:paraId="23EBD4BE" w14:textId="77777777" w:rsidR="0015643E" w:rsidRDefault="0015643E">
      <w:pPr>
        <w:pStyle w:val="BodyText"/>
      </w:pPr>
      <w:r>
        <w:t>MSI</w:t>
      </w:r>
      <w:r>
        <w:tab/>
      </w:r>
      <w:r>
        <w:tab/>
        <w:t>Maritime Safety Information</w:t>
      </w:r>
    </w:p>
    <w:p w14:paraId="294D39A4" w14:textId="77777777" w:rsidR="0015643E" w:rsidRDefault="0015643E">
      <w:pPr>
        <w:pStyle w:val="BodyText"/>
      </w:pPr>
      <w:r>
        <w:t>VHF</w:t>
      </w:r>
      <w:r>
        <w:tab/>
      </w:r>
      <w:r>
        <w:tab/>
        <w:t>Very High Frequency</w:t>
      </w:r>
    </w:p>
    <w:p w14:paraId="12A92066" w14:textId="77777777" w:rsidR="0015643E" w:rsidRDefault="0015643E">
      <w:pPr>
        <w:pStyle w:val="BodyText"/>
      </w:pPr>
      <w:r>
        <w:t xml:space="preserve">MBS </w:t>
      </w:r>
      <w:r>
        <w:tab/>
      </w:r>
      <w:r>
        <w:tab/>
      </w:r>
      <w:r w:rsidR="004A65E8">
        <w:t xml:space="preserve">(IALA) </w:t>
      </w:r>
      <w:r>
        <w:t>Maritime Buoyage System</w:t>
      </w:r>
    </w:p>
    <w:p w14:paraId="7D4C9808" w14:textId="77777777" w:rsidR="0015643E" w:rsidRDefault="0015643E">
      <w:pPr>
        <w:pStyle w:val="BodyText"/>
      </w:pPr>
      <w:r>
        <w:t>ODAS</w:t>
      </w:r>
      <w:r>
        <w:tab/>
      </w:r>
      <w:r>
        <w:tab/>
        <w:t>Ocean Data Acquisition System</w:t>
      </w:r>
    </w:p>
    <w:p w14:paraId="7E7166D6" w14:textId="77777777" w:rsidR="00620699" w:rsidRDefault="00620699">
      <w:pPr>
        <w:pStyle w:val="BodyText"/>
      </w:pPr>
      <w:r>
        <w:t>UAV</w:t>
      </w:r>
      <w:r w:rsidR="00AF57D6">
        <w:tab/>
      </w:r>
      <w:r w:rsidR="00AF57D6">
        <w:tab/>
        <w:t>Unmanned Aerial Vehicle</w:t>
      </w:r>
    </w:p>
    <w:p w14:paraId="5F830A5D" w14:textId="77777777" w:rsidR="00620699" w:rsidRDefault="00620699">
      <w:pPr>
        <w:pStyle w:val="BodyText"/>
      </w:pPr>
      <w:r>
        <w:t>VTS</w:t>
      </w:r>
      <w:r w:rsidR="00AF57D6">
        <w:tab/>
      </w:r>
      <w:r w:rsidR="00AF57D6">
        <w:tab/>
        <w:t>Vessel Traffic Services</w:t>
      </w:r>
    </w:p>
    <w:p w14:paraId="41317DE8" w14:textId="77777777" w:rsidR="004A65E8" w:rsidRDefault="004A65E8">
      <w:pPr>
        <w:pStyle w:val="BodyText"/>
      </w:pPr>
    </w:p>
    <w:p w14:paraId="22B80B3E" w14:textId="77777777" w:rsidR="004A65E8" w:rsidRDefault="004A65E8">
      <w:pPr>
        <w:pStyle w:val="BodyText"/>
      </w:pPr>
    </w:p>
    <w:p w14:paraId="09941AD3" w14:textId="77777777" w:rsidR="004A65E8" w:rsidRDefault="004A65E8" w:rsidP="00FA5291">
      <w:pPr>
        <w:pStyle w:val="BodyText"/>
        <w:jc w:val="center"/>
      </w:pPr>
      <w:r>
        <w:t>*************************</w:t>
      </w:r>
    </w:p>
    <w:p w14:paraId="11D5C734" w14:textId="77777777" w:rsidR="0015643E" w:rsidRPr="0015643E" w:rsidRDefault="0015643E">
      <w:pPr>
        <w:pStyle w:val="BodyText"/>
      </w:pPr>
    </w:p>
    <w:sectPr w:rsidR="0015643E" w:rsidRPr="0015643E" w:rsidSect="00E1138E">
      <w:headerReference w:type="default" r:id="rId25"/>
      <w:footerReference w:type="default" r:id="rId26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Tomren, Guttorm" w:date="2020-04-16T10:16:00Z" w:initials="TG">
    <w:p w14:paraId="06972CC9" w14:textId="77777777" w:rsidR="00D22455" w:rsidRDefault="00D22455">
      <w:pPr>
        <w:pStyle w:val="CommentText"/>
      </w:pPr>
      <w:r>
        <w:rPr>
          <w:rStyle w:val="CommentReference"/>
        </w:rPr>
        <w:annotationRef/>
      </w:r>
      <w:r>
        <w:t>Correct number need to be adviced by IALA Secretariate</w:t>
      </w:r>
    </w:p>
  </w:comment>
  <w:comment w:id="9" w:author="Tom Southall" w:date="2020-03-26T15:34:00Z" w:initials="TS">
    <w:p w14:paraId="709DCBFC" w14:textId="77777777" w:rsidR="00BE2103" w:rsidRDefault="00BE2103">
      <w:pPr>
        <w:pStyle w:val="CommentText"/>
      </w:pPr>
      <w:r>
        <w:rPr>
          <w:rStyle w:val="CommentReference"/>
        </w:rPr>
        <w:annotationRef/>
      </w:r>
      <w:r>
        <w:t>From Oleg Highday:</w:t>
      </w:r>
    </w:p>
    <w:p w14:paraId="70A76423" w14:textId="77777777" w:rsidR="00BE2103" w:rsidRDefault="00BE2103">
      <w:pPr>
        <w:pStyle w:val="CommentText"/>
      </w:pPr>
    </w:p>
    <w:p w14:paraId="60B9965D" w14:textId="77777777" w:rsidR="00602172" w:rsidRDefault="00602172" w:rsidP="00602172">
      <w:pPr>
        <w:spacing w:before="100" w:beforeAutospacing="1" w:after="100" w:afterAutospacing="1" w:line="240" w:lineRule="auto"/>
        <w:rPr>
          <w:rFonts w:eastAsia="Times New Roman"/>
          <w:sz w:val="22"/>
        </w:rPr>
      </w:pPr>
      <w:r>
        <w:rPr>
          <w:rFonts w:eastAsia="Times New Roman"/>
        </w:rPr>
        <w:t xml:space="preserve">Is it </w:t>
      </w:r>
      <w:r w:rsidR="00F8616A">
        <w:rPr>
          <w:rFonts w:eastAsia="Times New Roman"/>
        </w:rPr>
        <w:t>necessary</w:t>
      </w:r>
      <w:r>
        <w:rPr>
          <w:rFonts w:eastAsia="Times New Roman"/>
        </w:rPr>
        <w:t xml:space="preserve">  and correct to use both and moving and drifting for </w:t>
      </w:r>
      <w:r w:rsidR="00F8616A">
        <w:rPr>
          <w:rFonts w:eastAsia="Times New Roman"/>
        </w:rPr>
        <w:t>description</w:t>
      </w:r>
      <w:r>
        <w:rPr>
          <w:rFonts w:eastAsia="Times New Roman"/>
        </w:rPr>
        <w:t xml:space="preserve"> of hazard?</w:t>
      </w:r>
    </w:p>
    <w:p w14:paraId="4ACA4D2B" w14:textId="77777777" w:rsidR="00BE2103" w:rsidRDefault="00BE2103">
      <w:pPr>
        <w:pStyle w:val="CommentText"/>
      </w:pPr>
    </w:p>
  </w:comment>
  <w:comment w:id="10" w:author="Tom Southall" w:date="2020-03-26T15:08:00Z" w:initials="TS">
    <w:p w14:paraId="4DFF4D3A" w14:textId="77777777" w:rsidR="00845B30" w:rsidRDefault="00845B30">
      <w:pPr>
        <w:pStyle w:val="CommentText"/>
        <w:rPr>
          <w:lang w:eastAsia="de-DE"/>
        </w:rPr>
      </w:pPr>
      <w:r>
        <w:rPr>
          <w:rStyle w:val="CommentReference"/>
        </w:rPr>
        <w:annotationRef/>
      </w:r>
      <w:r>
        <w:t xml:space="preserve">From </w:t>
      </w:r>
      <w:r w:rsidR="00BC4257">
        <w:t xml:space="preserve">Argentine </w:t>
      </w:r>
      <w:r w:rsidR="00BC4257">
        <w:rPr>
          <w:lang w:eastAsia="de-DE"/>
        </w:rPr>
        <w:t>Ministerio De Defensa- Servicio De Hidrografia Naval:</w:t>
      </w:r>
    </w:p>
    <w:p w14:paraId="56428568" w14:textId="77777777" w:rsidR="00AF65FD" w:rsidRDefault="00AF65FD">
      <w:pPr>
        <w:pStyle w:val="CommentText"/>
        <w:rPr>
          <w:lang w:eastAsia="de-DE"/>
        </w:rPr>
      </w:pPr>
    </w:p>
    <w:p w14:paraId="5104D0BB" w14:textId="77777777" w:rsidR="006046B5" w:rsidRPr="006046B5" w:rsidRDefault="006046B5" w:rsidP="006046B5">
      <w:pPr>
        <w:pStyle w:val="CommentText"/>
        <w:numPr>
          <w:ilvl w:val="0"/>
          <w:numId w:val="62"/>
        </w:numPr>
        <w:rPr>
          <w:lang w:val="es-ES_tradnl"/>
        </w:rPr>
      </w:pPr>
      <w:r w:rsidRPr="006046B5">
        <w:rPr>
          <w:lang w:val="en-US"/>
        </w:rPr>
        <w:t xml:space="preserve">When we express the term hazard it should be clearly be identified distinctive as it is considered in the IMO classification of dangerous goods. Just for example, Class 1 (Explosives) for the IMDG Code </w:t>
      </w:r>
      <w:r w:rsidRPr="006046B5">
        <w:rPr>
          <w:vertAlign w:val="superscript"/>
          <w:lang w:val="en-US"/>
        </w:rPr>
        <w:footnoteRef/>
      </w:r>
      <w:r w:rsidRPr="006046B5">
        <w:rPr>
          <w:lang w:val="en-US"/>
        </w:rPr>
        <w:t>, the division 1. 3 is  “ Substances and articles which have a fire hazard and either a minor blast hazard or a minor projection hazard or both, but not a mass explosion hazard.”</w:t>
      </w:r>
    </w:p>
    <w:p w14:paraId="40C869A1" w14:textId="77777777" w:rsidR="006046B5" w:rsidRPr="006046B5" w:rsidRDefault="006046B5" w:rsidP="006046B5">
      <w:pPr>
        <w:pStyle w:val="CommentText"/>
        <w:rPr>
          <w:lang w:val="en-US"/>
        </w:rPr>
      </w:pPr>
    </w:p>
    <w:p w14:paraId="63891B34" w14:textId="77777777" w:rsidR="006046B5" w:rsidRPr="006046B5" w:rsidRDefault="006046B5" w:rsidP="006046B5">
      <w:pPr>
        <w:pStyle w:val="CommentText"/>
        <w:rPr>
          <w:lang w:val="en-US"/>
        </w:rPr>
      </w:pPr>
      <w:r w:rsidRPr="006046B5">
        <w:rPr>
          <w:lang w:val="en-US"/>
        </w:rPr>
        <w:t xml:space="preserve">How are we going to mark a simple 200Lt.tanq that is on fire and represents a hazard ? </w:t>
      </w:r>
    </w:p>
    <w:p w14:paraId="1DE5924E" w14:textId="77777777" w:rsidR="006046B5" w:rsidRPr="006046B5" w:rsidRDefault="006046B5" w:rsidP="006046B5">
      <w:pPr>
        <w:pStyle w:val="CommentText"/>
        <w:rPr>
          <w:lang w:val="en-US"/>
        </w:rPr>
      </w:pPr>
    </w:p>
    <w:p w14:paraId="0B2A69D8" w14:textId="77777777" w:rsidR="006046B5" w:rsidRPr="006046B5" w:rsidRDefault="006046B5" w:rsidP="006046B5">
      <w:pPr>
        <w:pStyle w:val="CommentText"/>
        <w:numPr>
          <w:ilvl w:val="0"/>
          <w:numId w:val="62"/>
        </w:numPr>
        <w:rPr>
          <w:lang w:val="en-US"/>
        </w:rPr>
      </w:pPr>
      <w:r w:rsidRPr="006046B5">
        <w:rPr>
          <w:lang w:val="en-US"/>
        </w:rPr>
        <w:t>On the other hand, the IMO guidelines for FSA</w:t>
      </w:r>
      <w:r w:rsidR="00362C3D">
        <w:rPr>
          <w:vertAlign w:val="superscript"/>
          <w:lang w:val="en-US"/>
        </w:rPr>
        <w:t>2</w:t>
      </w:r>
      <w:r w:rsidRPr="006046B5">
        <w:rPr>
          <w:lang w:val="en-US"/>
        </w:rPr>
        <w:t xml:space="preserve"> describe a hazard as “A potential to threaten human life, health, property or the environment”</w:t>
      </w:r>
      <w:r w:rsidR="00DB0A9F">
        <w:rPr>
          <w:vertAlign w:val="superscript"/>
          <w:lang w:val="en-US"/>
        </w:rPr>
        <w:t>3</w:t>
      </w:r>
    </w:p>
    <w:p w14:paraId="752B3D16" w14:textId="77777777" w:rsidR="006046B5" w:rsidRPr="006046B5" w:rsidRDefault="006046B5" w:rsidP="006046B5">
      <w:pPr>
        <w:pStyle w:val="CommentText"/>
        <w:rPr>
          <w:lang w:val="en-US"/>
        </w:rPr>
      </w:pPr>
    </w:p>
    <w:p w14:paraId="16D368FC" w14:textId="77777777" w:rsidR="006046B5" w:rsidRPr="006046B5" w:rsidRDefault="006046B5" w:rsidP="006046B5">
      <w:pPr>
        <w:pStyle w:val="CommentText"/>
        <w:rPr>
          <w:lang w:val="en-US"/>
        </w:rPr>
      </w:pPr>
      <w:r w:rsidRPr="006046B5">
        <w:rPr>
          <w:lang w:val="en-US"/>
        </w:rPr>
        <w:t>There is also a possibility to consider hazards external to the ship as follows</w:t>
      </w:r>
      <w:r w:rsidR="00DB0A9F">
        <w:rPr>
          <w:vertAlign w:val="superscript"/>
          <w:lang w:val="en-US"/>
        </w:rPr>
        <w:t>4</w:t>
      </w:r>
      <w:r w:rsidRPr="006046B5">
        <w:rPr>
          <w:lang w:val="en-US"/>
        </w:rPr>
        <w:t>:</w:t>
      </w:r>
    </w:p>
    <w:p w14:paraId="476F45EA" w14:textId="77777777" w:rsidR="006046B5" w:rsidRPr="006046B5" w:rsidRDefault="006046B5" w:rsidP="006046B5">
      <w:pPr>
        <w:pStyle w:val="CommentText"/>
        <w:rPr>
          <w:lang w:val="en-US"/>
        </w:rPr>
      </w:pPr>
      <w:r w:rsidRPr="006046B5">
        <w:rPr>
          <w:lang w:val="en-US"/>
        </w:rPr>
        <w:t>.1 storms</w:t>
      </w:r>
    </w:p>
    <w:p w14:paraId="12DA0EF5" w14:textId="77777777" w:rsidR="006046B5" w:rsidRPr="006046B5" w:rsidRDefault="006046B5" w:rsidP="006046B5">
      <w:pPr>
        <w:pStyle w:val="CommentText"/>
        <w:rPr>
          <w:lang w:val="en-US"/>
        </w:rPr>
      </w:pPr>
      <w:r w:rsidRPr="006046B5">
        <w:rPr>
          <w:lang w:val="en-US"/>
        </w:rPr>
        <w:t>.2 lightning</w:t>
      </w:r>
    </w:p>
    <w:p w14:paraId="527C8486" w14:textId="77777777" w:rsidR="006046B5" w:rsidRPr="006046B5" w:rsidRDefault="006046B5" w:rsidP="006046B5">
      <w:pPr>
        <w:pStyle w:val="CommentText"/>
        <w:rPr>
          <w:lang w:val="en-US"/>
        </w:rPr>
      </w:pPr>
      <w:r w:rsidRPr="006046B5">
        <w:rPr>
          <w:lang w:val="en-US"/>
        </w:rPr>
        <w:t>.3 uncharted submerged objects</w:t>
      </w:r>
    </w:p>
    <w:p w14:paraId="0DF4F960" w14:textId="77777777" w:rsidR="006046B5" w:rsidRPr="006046B5" w:rsidRDefault="006046B5" w:rsidP="006046B5">
      <w:pPr>
        <w:pStyle w:val="CommentText"/>
        <w:rPr>
          <w:lang w:val="en-US"/>
        </w:rPr>
      </w:pPr>
      <w:r w:rsidRPr="006046B5">
        <w:rPr>
          <w:lang w:val="en-US"/>
        </w:rPr>
        <w:t>.4 other ships</w:t>
      </w:r>
    </w:p>
    <w:p w14:paraId="0A0F928C" w14:textId="77777777" w:rsidR="00AF65FD" w:rsidRDefault="00AF65FD">
      <w:pPr>
        <w:pStyle w:val="CommentText"/>
      </w:pPr>
    </w:p>
    <w:p w14:paraId="1275C0F4" w14:textId="77777777" w:rsidR="006046B5" w:rsidRDefault="001C645B">
      <w:pPr>
        <w:pStyle w:val="CommentText"/>
      </w:pPr>
      <w:r>
        <w:t>References:</w:t>
      </w:r>
    </w:p>
    <w:p w14:paraId="4A781E0B" w14:textId="77777777" w:rsidR="001C645B" w:rsidRDefault="001C645B">
      <w:pPr>
        <w:pStyle w:val="CommentText"/>
      </w:pPr>
    </w:p>
    <w:p w14:paraId="7D2557D2" w14:textId="77777777" w:rsidR="001C645B" w:rsidRPr="001C645B" w:rsidRDefault="001C645B" w:rsidP="001C645B">
      <w:pPr>
        <w:pStyle w:val="CommentText"/>
        <w:rPr>
          <w:lang w:val="en-US"/>
        </w:rPr>
      </w:pPr>
      <w:r w:rsidRPr="001C645B">
        <w:rPr>
          <w:vertAlign w:val="superscript"/>
          <w:lang w:val="es-ES_tradnl"/>
        </w:rPr>
        <w:footnoteRef/>
      </w:r>
      <w:r w:rsidRPr="001C645B">
        <w:rPr>
          <w:lang w:val="en-US"/>
        </w:rPr>
        <w:t xml:space="preserve"> INTERNATIONAL MARITIME DANGEROUS GOODS CODE </w:t>
      </w:r>
    </w:p>
    <w:p w14:paraId="1CA70C9A" w14:textId="77777777" w:rsidR="001C645B" w:rsidRPr="001C645B" w:rsidRDefault="001C645B" w:rsidP="001C645B">
      <w:pPr>
        <w:pStyle w:val="CommentText"/>
        <w:rPr>
          <w:lang w:val="en-US"/>
        </w:rPr>
      </w:pPr>
      <w:r>
        <w:rPr>
          <w:vertAlign w:val="superscript"/>
          <w:lang w:val="es-ES_tradnl"/>
        </w:rPr>
        <w:t xml:space="preserve">2 </w:t>
      </w:r>
      <w:r w:rsidRPr="001C645B">
        <w:rPr>
          <w:lang w:val="en-US"/>
        </w:rPr>
        <w:t>Formal Safe assessment. MSC-MEPC.2/Circ.12/Rev.2 Page 4</w:t>
      </w:r>
    </w:p>
    <w:p w14:paraId="4F9B266B" w14:textId="77777777" w:rsidR="001C645B" w:rsidRPr="001C645B" w:rsidRDefault="001C645B" w:rsidP="001C645B">
      <w:pPr>
        <w:pStyle w:val="CommentText"/>
        <w:rPr>
          <w:lang w:val="en-US"/>
        </w:rPr>
      </w:pPr>
      <w:r>
        <w:rPr>
          <w:vertAlign w:val="superscript"/>
          <w:lang w:val="es-ES_tradnl"/>
        </w:rPr>
        <w:t>3</w:t>
      </w:r>
      <w:r w:rsidRPr="001C645B">
        <w:rPr>
          <w:lang w:val="en-US"/>
        </w:rPr>
        <w:t xml:space="preserve"> MSC/Circ.1023 MEPC/Circ.392 ANNEX Page 23 </w:t>
      </w:r>
    </w:p>
    <w:p w14:paraId="0E1DB2BD" w14:textId="77777777" w:rsidR="001C645B" w:rsidRDefault="001C645B" w:rsidP="001C645B">
      <w:pPr>
        <w:pStyle w:val="CommentText"/>
      </w:pPr>
      <w:r>
        <w:rPr>
          <w:vertAlign w:val="superscript"/>
          <w:lang w:val="es-ES_tradnl"/>
        </w:rPr>
        <w:t>4</w:t>
      </w:r>
      <w:r w:rsidRPr="001C645B">
        <w:rPr>
          <w:lang w:val="en-US"/>
        </w:rPr>
        <w:t xml:space="preserve"> MSC/Circ.1023 MEPC/Circ.392 ANNEX Page 39</w:t>
      </w:r>
    </w:p>
  </w:comment>
  <w:comment w:id="19" w:author="Tom Southall" w:date="2020-03-26T15:34:00Z" w:initials="TS">
    <w:p w14:paraId="245EA44D" w14:textId="77777777" w:rsidR="00602172" w:rsidRDefault="00602172">
      <w:pPr>
        <w:pStyle w:val="CommentText"/>
      </w:pPr>
      <w:r>
        <w:rPr>
          <w:rStyle w:val="CommentReference"/>
        </w:rPr>
        <w:annotationRef/>
      </w:r>
      <w:r>
        <w:t>From Oleg Highday:</w:t>
      </w:r>
    </w:p>
    <w:p w14:paraId="5DD1D4D2" w14:textId="77777777" w:rsidR="00602172" w:rsidRDefault="00602172" w:rsidP="00602172">
      <w:pPr>
        <w:spacing w:before="100" w:beforeAutospacing="1" w:after="100" w:afterAutospacing="1" w:line="240" w:lineRule="auto"/>
        <w:rPr>
          <w:rFonts w:eastAsia="Times New Roman"/>
        </w:rPr>
      </w:pPr>
    </w:p>
    <w:p w14:paraId="55DE54A1" w14:textId="77777777" w:rsidR="00602172" w:rsidRDefault="00602172" w:rsidP="00602172">
      <w:pPr>
        <w:spacing w:before="100" w:beforeAutospacing="1" w:after="100" w:afterAutospacing="1" w:line="240" w:lineRule="auto"/>
        <w:rPr>
          <w:rFonts w:eastAsia="Times New Roman"/>
          <w:sz w:val="22"/>
        </w:rPr>
      </w:pPr>
      <w:r>
        <w:rPr>
          <w:rFonts w:eastAsia="Times New Roman"/>
        </w:rPr>
        <w:t>Is it nessery  and correct to use both and moving and drifting for discription of hazard?</w:t>
      </w:r>
    </w:p>
    <w:p w14:paraId="4D61843F" w14:textId="77777777" w:rsidR="00602172" w:rsidRDefault="00602172">
      <w:pPr>
        <w:pStyle w:val="CommentText"/>
      </w:pPr>
    </w:p>
  </w:comment>
  <w:comment w:id="28" w:author="Tom Southall" w:date="2020-03-26T15:18:00Z" w:initials="TS">
    <w:p w14:paraId="311B43F9" w14:textId="77777777" w:rsidR="00A143A9" w:rsidRDefault="00A143A9" w:rsidP="00A143A9">
      <w:pPr>
        <w:pStyle w:val="CommentText"/>
        <w:rPr>
          <w:lang w:eastAsia="de-DE"/>
        </w:rPr>
      </w:pPr>
      <w:r>
        <w:rPr>
          <w:rStyle w:val="CommentReference"/>
        </w:rPr>
        <w:annotationRef/>
      </w:r>
      <w:r>
        <w:t xml:space="preserve">From Argentine </w:t>
      </w:r>
      <w:r>
        <w:rPr>
          <w:lang w:eastAsia="de-DE"/>
        </w:rPr>
        <w:t>Ministerio De Defensa- Servicio De Hidrografia Naval</w:t>
      </w:r>
    </w:p>
    <w:p w14:paraId="7E0B6E30" w14:textId="77777777" w:rsidR="00A143A9" w:rsidRDefault="00A143A9" w:rsidP="00A143A9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178F1343" w14:textId="77777777" w:rsidR="00A143A9" w:rsidRDefault="00A143A9" w:rsidP="00A143A9">
      <w:pPr>
        <w:pStyle w:val="CommentText"/>
      </w:pPr>
      <w:r>
        <w:rPr>
          <w:rFonts w:eastAsia="Calibri"/>
          <w:lang w:eastAsia="de-DE"/>
        </w:rPr>
        <w:t>Reference:</w:t>
      </w:r>
      <w:r w:rsidRPr="00970704">
        <w:t xml:space="preserve"> </w:t>
      </w:r>
      <w:r w:rsidRPr="00970704">
        <w:rPr>
          <w:rFonts w:eastAsia="Calibri"/>
          <w:lang w:eastAsia="de-DE"/>
        </w:rPr>
        <w:t>http://www.hidro.gov.ar ; NAVAREA VI NUMBER 97 16/03/2020</w:t>
      </w:r>
      <w:r>
        <w:rPr>
          <w:rFonts w:eastAsia="Calibri"/>
          <w:lang w:eastAsia="de-DE"/>
        </w:rPr>
        <w:t>]</w:t>
      </w:r>
      <w:r>
        <w:rPr>
          <w:rStyle w:val="CommentReference"/>
        </w:rPr>
        <w:annotationRef/>
      </w:r>
    </w:p>
  </w:comment>
  <w:comment w:id="33" w:author="Tom Southall" w:date="2020-03-26T15:22:00Z" w:initials="TS">
    <w:p w14:paraId="66E2B380" w14:textId="77777777" w:rsidR="002E66BB" w:rsidRDefault="002E66BB">
      <w:pPr>
        <w:pStyle w:val="CommentText"/>
      </w:pPr>
      <w:r>
        <w:rPr>
          <w:rStyle w:val="CommentReference"/>
        </w:rPr>
        <w:annotationRef/>
      </w:r>
      <w:r>
        <w:t>From Yves Jacques:</w:t>
      </w:r>
    </w:p>
    <w:p w14:paraId="220D1E40" w14:textId="77777777" w:rsidR="002E66BB" w:rsidRDefault="002E66BB">
      <w:pPr>
        <w:pStyle w:val="CommentText"/>
      </w:pPr>
    </w:p>
    <w:p w14:paraId="6C4E548A" w14:textId="77777777" w:rsidR="003A1A96" w:rsidRPr="003A1A96" w:rsidRDefault="003A1A96">
      <w:pPr>
        <w:pStyle w:val="CommentText"/>
        <w:rPr>
          <w:rFonts w:cstheme="minorHAnsi"/>
          <w:sz w:val="22"/>
          <w:szCs w:val="22"/>
        </w:rPr>
      </w:pPr>
      <w:r w:rsidRPr="003A1A96">
        <w:rPr>
          <w:rFonts w:eastAsia="Times New Roman" w:cstheme="minorHAnsi"/>
          <w:color w:val="000000"/>
          <w:sz w:val="22"/>
          <w:szCs w:val="22"/>
          <w:lang w:val="en-US"/>
        </w:rPr>
        <w:t>Suggestion for an addition to the section 5. The physical type is the preferred option as it is the one likely to be detected by all users.</w:t>
      </w:r>
    </w:p>
  </w:comment>
  <w:comment w:id="46" w:author="Tomren, Guttorm" w:date="2020-04-16T10:15:00Z" w:initials="TG">
    <w:p w14:paraId="140E236D" w14:textId="77777777" w:rsidR="00DC7360" w:rsidRDefault="00DC7360">
      <w:pPr>
        <w:pStyle w:val="CommentText"/>
      </w:pPr>
      <w:r>
        <w:rPr>
          <w:rStyle w:val="CommentReference"/>
        </w:rPr>
        <w:annotationRef/>
      </w:r>
      <w:r>
        <w:t>Remark from Argentina</w:t>
      </w:r>
    </w:p>
  </w:comment>
  <w:comment w:id="79" w:author="Tomren, Guttorm" w:date="2020-04-16T10:13:00Z" w:initials="TG">
    <w:p w14:paraId="7D71D8A5" w14:textId="77777777" w:rsidR="00DC7360" w:rsidRDefault="00DC7360">
      <w:pPr>
        <w:pStyle w:val="CommentText"/>
      </w:pPr>
      <w:r>
        <w:rPr>
          <w:rStyle w:val="CommentReference"/>
        </w:rPr>
        <w:annotationRef/>
      </w:r>
      <w:r>
        <w:t>New addition, unknown originator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6972CC9" w15:done="0"/>
  <w15:commentEx w15:paraId="4ACA4D2B" w15:done="0"/>
  <w15:commentEx w15:paraId="0E1DB2BD" w15:done="0"/>
  <w15:commentEx w15:paraId="4D61843F" w15:done="0"/>
  <w15:commentEx w15:paraId="178F1343" w15:done="0"/>
  <w15:commentEx w15:paraId="6C4E548A" w15:done="0"/>
  <w15:commentEx w15:paraId="140E236D" w15:done="0"/>
  <w15:commentEx w15:paraId="7D71D8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972CC9" w16cid:durableId="22F3C077"/>
  <w16cid:commentId w16cid:paraId="4ACA4D2B" w16cid:durableId="22F3C078"/>
  <w16cid:commentId w16cid:paraId="0E1DB2BD" w16cid:durableId="22F3C079"/>
  <w16cid:commentId w16cid:paraId="4D61843F" w16cid:durableId="22F3C07A"/>
  <w16cid:commentId w16cid:paraId="178F1343" w16cid:durableId="22F3C07B"/>
  <w16cid:commentId w16cid:paraId="6C4E548A" w16cid:durableId="22F3C07C"/>
  <w16cid:commentId w16cid:paraId="140E236D" w16cid:durableId="22F3C07D"/>
  <w16cid:commentId w16cid:paraId="7D71D8A5" w16cid:durableId="22F3C0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11450" w14:textId="77777777" w:rsidR="00F857D4" w:rsidRDefault="00F857D4" w:rsidP="003274DB">
      <w:r>
        <w:separator/>
      </w:r>
    </w:p>
    <w:p w14:paraId="05B51B81" w14:textId="77777777" w:rsidR="00F857D4" w:rsidRDefault="00F857D4"/>
  </w:endnote>
  <w:endnote w:type="continuationSeparator" w:id="0">
    <w:p w14:paraId="0FECE08F" w14:textId="77777777" w:rsidR="00F857D4" w:rsidRDefault="00F857D4" w:rsidP="003274DB">
      <w:r>
        <w:continuationSeparator/>
      </w:r>
    </w:p>
    <w:p w14:paraId="0D6F8660" w14:textId="77777777" w:rsidR="00F857D4" w:rsidRDefault="00F857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F6BD5" w14:textId="77777777" w:rsidR="001C2518" w:rsidRDefault="001C2518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089F45" w14:textId="77777777" w:rsidR="001C2518" w:rsidRDefault="001C2518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D3128D" w14:textId="77777777" w:rsidR="001C2518" w:rsidRDefault="001C2518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7B8810" w14:textId="77777777" w:rsidR="001C2518" w:rsidRDefault="001C2518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1F8350" w14:textId="77777777" w:rsidR="001C2518" w:rsidRDefault="001C2518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7DD07" w14:textId="77777777" w:rsidR="001C2518" w:rsidRDefault="001C2518" w:rsidP="008747E0">
    <w:pPr>
      <w:pStyle w:val="Footer"/>
    </w:pPr>
    <w:r>
      <w:rPr>
        <w:noProof/>
        <w:lang w:val="nn-NO" w:eastAsia="nn-NO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2BD10C07" wp14:editId="0DC7258A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34925" b="1905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229D83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41D70785" w14:textId="77777777" w:rsidR="001C2518" w:rsidRPr="00ED2A8D" w:rsidRDefault="001C2518" w:rsidP="008747E0">
    <w:pPr>
      <w:pStyle w:val="Footer"/>
    </w:pPr>
    <w:r w:rsidRPr="00442889">
      <w:rPr>
        <w:noProof/>
        <w:lang w:val="nn-NO" w:eastAsia="nn-NO"/>
      </w:rPr>
      <w:drawing>
        <wp:anchor distT="0" distB="0" distL="114300" distR="114300" simplePos="0" relativeHeight="251661312" behindDoc="1" locked="0" layoutInCell="1" allowOverlap="1" wp14:anchorId="2BF7CD11" wp14:editId="5C82C5EA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485912" w14:textId="77777777" w:rsidR="001C2518" w:rsidRPr="00ED2A8D" w:rsidRDefault="001C2518" w:rsidP="008747E0">
    <w:pPr>
      <w:pStyle w:val="Footer"/>
    </w:pPr>
  </w:p>
  <w:p w14:paraId="7F8E0CFC" w14:textId="77777777" w:rsidR="001C2518" w:rsidRPr="00ED2A8D" w:rsidRDefault="001C2518" w:rsidP="008747E0">
    <w:pPr>
      <w:pStyle w:val="Footer"/>
    </w:pPr>
  </w:p>
  <w:p w14:paraId="07950CB9" w14:textId="77777777" w:rsidR="001C2518" w:rsidRPr="00ED2A8D" w:rsidRDefault="001C2518" w:rsidP="008747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EBDAC" w14:textId="77777777" w:rsidR="001C2518" w:rsidRDefault="001C2518" w:rsidP="00525922">
    <w:pPr>
      <w:pStyle w:val="Footerlandscape"/>
    </w:pPr>
    <w:r>
      <w:rPr>
        <w:noProof/>
        <w:lang w:val="nn-NO" w:eastAsia="nn-NO"/>
      </w:rPr>
      <mc:AlternateContent>
        <mc:Choice Requires="wps">
          <w:drawing>
            <wp:anchor distT="4294967295" distB="4294967295" distL="114300" distR="114300" simplePos="0" relativeHeight="251691008" behindDoc="0" locked="0" layoutInCell="1" allowOverlap="1" wp14:anchorId="1265C2C1" wp14:editId="64ED2859">
              <wp:simplePos x="0" y="0"/>
              <wp:positionH relativeFrom="page">
                <wp:posOffset>281940</wp:posOffset>
              </wp:positionH>
              <wp:positionV relativeFrom="page">
                <wp:posOffset>9942194</wp:posOffset>
              </wp:positionV>
              <wp:extent cx="7127875" cy="0"/>
              <wp:effectExtent l="0" t="0" r="34925" b="19050"/>
              <wp:wrapNone/>
              <wp:docPr id="16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0EC12C" id="Connecteur droit 1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1F7F35D8" w14:textId="77777777" w:rsidR="001C2518" w:rsidRPr="002C5B46" w:rsidRDefault="001C2518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Pr="00122E5F">
      <w:rPr>
        <w:szCs w:val="15"/>
        <w:lang w:val="pt-PT"/>
      </w:rPr>
      <w:t xml:space="preserve"> </w:t>
    </w:r>
    <w:r>
      <w:fldChar w:fldCharType="begin"/>
    </w:r>
    <w:r w:rsidRPr="004E24C2">
      <w:rPr>
        <w:lang w:val="es-MX"/>
      </w:rPr>
      <w:instrText xml:space="preserve"> STYLEREF "Document number" \* MERGEFORMAT </w:instrText>
    </w:r>
    <w:r>
      <w:fldChar w:fldCharType="separate"/>
    </w:r>
    <w:r w:rsidRPr="002C5B46">
      <w:rPr>
        <w:noProof/>
        <w:szCs w:val="15"/>
        <w:lang w:val="pt-PT"/>
      </w:rPr>
      <w:t>1???</w:t>
    </w:r>
    <w:r>
      <w:rPr>
        <w:noProof/>
        <w:szCs w:val="15"/>
        <w:lang w:val="pt-PT"/>
      </w:rPr>
      <w:fldChar w:fldCharType="end"/>
    </w:r>
    <w:r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14:paraId="6E416872" w14:textId="77777777" w:rsidR="001C2518" w:rsidRPr="00525922" w:rsidRDefault="001C2518" w:rsidP="00525922">
    <w:pPr>
      <w:pStyle w:val="Footerlandscape"/>
      <w:rPr>
        <w:szCs w:val="15"/>
      </w:rPr>
    </w:pPr>
    <w:r>
      <w:rPr>
        <w:noProof/>
        <w:szCs w:val="15"/>
      </w:rPr>
      <w:fldChar w:fldCharType="begin"/>
    </w:r>
    <w:r>
      <w:rPr>
        <w:noProof/>
        <w:szCs w:val="15"/>
      </w:rPr>
      <w:instrText xml:space="preserve"> STYLEREF "Edition number" \* MERGEFORMAT </w:instrText>
    </w:r>
    <w:r>
      <w:rPr>
        <w:noProof/>
        <w:szCs w:val="15"/>
      </w:rPr>
      <w:fldChar w:fldCharType="separate"/>
    </w:r>
    <w:r>
      <w:rPr>
        <w:noProof/>
        <w:szCs w:val="15"/>
      </w:rPr>
      <w:t>Edition 1.0</w:t>
    </w:r>
    <w:r>
      <w:rPr>
        <w:noProof/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FF936" w14:textId="77777777" w:rsidR="001C2518" w:rsidRPr="00C716E5" w:rsidRDefault="001C2518" w:rsidP="00C716E5">
    <w:pPr>
      <w:pStyle w:val="Footer"/>
      <w:rPr>
        <w:sz w:val="15"/>
        <w:szCs w:val="15"/>
      </w:rPr>
    </w:pPr>
  </w:p>
  <w:p w14:paraId="5D588699" w14:textId="77777777" w:rsidR="001C2518" w:rsidRDefault="001C2518" w:rsidP="00C716E5">
    <w:pPr>
      <w:pStyle w:val="Footerportrait"/>
    </w:pPr>
  </w:p>
  <w:p w14:paraId="283090B2" w14:textId="6DC8A269" w:rsidR="001C2518" w:rsidRPr="00C907DF" w:rsidRDefault="00F857D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825468">
        <w:t>IALA Guideline</w:t>
      </w:r>
    </w:fldSimple>
    <w:r w:rsidR="001C2518" w:rsidRPr="00C907DF">
      <w:t xml:space="preserve"> </w:t>
    </w:r>
    <w:r w:rsidRPr="00DC7360">
      <w:rPr>
        <w:highlight w:val="yellow"/>
        <w:rPrChange w:id="4" w:author="Tomren, Guttorm" w:date="2020-04-16T10:08:00Z">
          <w:rPr/>
        </w:rPrChange>
      </w:rPr>
      <w:fldChar w:fldCharType="begin"/>
    </w:r>
    <w:r w:rsidRPr="00DC7360">
      <w:rPr>
        <w:highlight w:val="yellow"/>
        <w:rPrChange w:id="5" w:author="Tomren, Guttorm" w:date="2020-04-16T10:08:00Z">
          <w:rPr/>
        </w:rPrChange>
      </w:rPr>
      <w:instrText xml:space="preserve"> STYLEREF "Document number" \* MERGEFORMAT </w:instrText>
    </w:r>
    <w:r w:rsidRPr="00DC7360">
      <w:rPr>
        <w:highlight w:val="yellow"/>
        <w:rPrChange w:id="6" w:author="Tomren, Guttorm" w:date="2020-04-16T10:08:00Z">
          <w:rPr/>
        </w:rPrChange>
      </w:rPr>
      <w:fldChar w:fldCharType="separate"/>
    </w:r>
    <w:r w:rsidR="00825468">
      <w:rPr>
        <w:highlight w:val="yellow"/>
      </w:rPr>
      <w:t>1016</w:t>
    </w:r>
    <w:r w:rsidRPr="00DC7360">
      <w:rPr>
        <w:highlight w:val="yellow"/>
        <w:rPrChange w:id="7" w:author="Tomren, Guttorm" w:date="2020-04-16T10:08:00Z">
          <w:rPr/>
        </w:rPrChange>
      </w:rPr>
      <w:fldChar w:fldCharType="end"/>
    </w:r>
    <w:r w:rsidR="001C2518" w:rsidRPr="00C907DF">
      <w:t xml:space="preserve"> –</w:t>
    </w:r>
    <w:r w:rsidR="001C2518">
      <w:t xml:space="preserve"> </w:t>
    </w:r>
    <w:r w:rsidR="001C2518" w:rsidRPr="005609AE">
      <w:t>USE OF MOBILE AIDS TO NAVIGATION</w:t>
    </w:r>
  </w:p>
  <w:p w14:paraId="6A2BD2D4" w14:textId="0B0D01B2" w:rsidR="001C2518" w:rsidRPr="00C907DF" w:rsidRDefault="00F857D4" w:rsidP="00C716E5">
    <w:pPr>
      <w:pStyle w:val="Footerportrait"/>
    </w:pPr>
    <w:fldSimple w:instr=" STYLEREF &quot;Edition number&quot; \* MERGEFORMAT ">
      <w:r w:rsidR="00825468">
        <w:t>Edition 1.0</w:t>
      </w:r>
    </w:fldSimple>
    <w:r w:rsidR="001C2518">
      <w:t xml:space="preserve">  </w:t>
    </w:r>
    <w:fldSimple w:instr=" STYLEREF &quot;Document date&quot; \* MERGEFORMAT ">
      <w:r w:rsidR="00825468">
        <w:t>Document date</w:t>
      </w:r>
    </w:fldSimple>
    <w:r w:rsidR="001C2518" w:rsidRPr="00C907DF">
      <w:tab/>
    </w:r>
    <w:r w:rsidR="001C2518">
      <w:t xml:space="preserve">P </w:t>
    </w:r>
    <w:r w:rsidR="001C2518" w:rsidRPr="00C907DF">
      <w:rPr>
        <w:rStyle w:val="PageNumber"/>
        <w:szCs w:val="15"/>
      </w:rPr>
      <w:fldChar w:fldCharType="begin"/>
    </w:r>
    <w:r w:rsidR="001C2518" w:rsidRPr="00C907DF">
      <w:rPr>
        <w:rStyle w:val="PageNumber"/>
        <w:szCs w:val="15"/>
      </w:rPr>
      <w:instrText xml:space="preserve">PAGE  </w:instrText>
    </w:r>
    <w:r w:rsidR="001C2518" w:rsidRPr="00C907DF">
      <w:rPr>
        <w:rStyle w:val="PageNumber"/>
        <w:szCs w:val="15"/>
      </w:rPr>
      <w:fldChar w:fldCharType="separate"/>
    </w:r>
    <w:r w:rsidR="00FD4E76">
      <w:rPr>
        <w:rStyle w:val="PageNumber"/>
        <w:szCs w:val="15"/>
      </w:rPr>
      <w:t>3</w:t>
    </w:r>
    <w:r w:rsidR="001C2518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FD037" w14:textId="77777777" w:rsidR="001C2518" w:rsidRDefault="001C2518" w:rsidP="00C716E5">
    <w:pPr>
      <w:pStyle w:val="Footer"/>
    </w:pPr>
  </w:p>
  <w:p w14:paraId="613385E0" w14:textId="77777777" w:rsidR="001C2518" w:rsidRDefault="001C2518" w:rsidP="00C716E5">
    <w:pPr>
      <w:pStyle w:val="Footerportrait"/>
    </w:pPr>
  </w:p>
  <w:p w14:paraId="10A3CF8C" w14:textId="2C098B58" w:rsidR="001C2518" w:rsidRPr="00C907DF" w:rsidRDefault="00F857D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825468">
        <w:t>IALA Guideline</w:t>
      </w:r>
    </w:fldSimple>
    <w:r w:rsidR="001C2518" w:rsidRPr="00C907DF">
      <w:t xml:space="preserve"> </w:t>
    </w:r>
    <w:fldSimple w:instr=" STYLEREF &quot;Document number&quot; \* MERGEFORMAT ">
      <w:r w:rsidR="00825468">
        <w:t>1016</w:t>
      </w:r>
    </w:fldSimple>
    <w:r w:rsidR="001C2518" w:rsidRPr="00C907DF">
      <w:t xml:space="preserve"> –</w:t>
    </w:r>
    <w:r w:rsidR="001C2518" w:rsidRPr="005609AE">
      <w:t>USE OF MOBILE AIDS TO NAVIGATION</w:t>
    </w:r>
  </w:p>
  <w:p w14:paraId="775DFA48" w14:textId="259B58CB" w:rsidR="001C2518" w:rsidRPr="00525922" w:rsidRDefault="00F857D4" w:rsidP="00C716E5">
    <w:pPr>
      <w:pStyle w:val="Footerportrait"/>
    </w:pPr>
    <w:fldSimple w:instr=" STYLEREF &quot;Edition number&quot; \* MERGEFORMAT ">
      <w:r w:rsidR="00825468">
        <w:t>Edition 1.0</w:t>
      </w:r>
    </w:fldSimple>
    <w:r w:rsidR="001C2518" w:rsidRPr="00C907DF">
      <w:tab/>
    </w:r>
    <w:r w:rsidR="001C2518">
      <w:t xml:space="preserve">P </w:t>
    </w:r>
    <w:r w:rsidR="001C2518" w:rsidRPr="00C907DF">
      <w:rPr>
        <w:rStyle w:val="PageNumber"/>
        <w:szCs w:val="15"/>
      </w:rPr>
      <w:fldChar w:fldCharType="begin"/>
    </w:r>
    <w:r w:rsidR="001C2518" w:rsidRPr="00C907DF">
      <w:rPr>
        <w:rStyle w:val="PageNumber"/>
        <w:szCs w:val="15"/>
      </w:rPr>
      <w:instrText xml:space="preserve">PAGE  </w:instrText>
    </w:r>
    <w:r w:rsidR="001C2518" w:rsidRPr="00C907DF">
      <w:rPr>
        <w:rStyle w:val="PageNumber"/>
        <w:szCs w:val="15"/>
      </w:rPr>
      <w:fldChar w:fldCharType="separate"/>
    </w:r>
    <w:r w:rsidR="00FD4E76">
      <w:rPr>
        <w:rStyle w:val="PageNumber"/>
        <w:szCs w:val="15"/>
      </w:rPr>
      <w:t>4</w:t>
    </w:r>
    <w:r w:rsidR="001C2518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532C4" w14:textId="77777777" w:rsidR="001C2518" w:rsidRDefault="001C2518" w:rsidP="00C716E5">
    <w:pPr>
      <w:pStyle w:val="Footer"/>
    </w:pPr>
  </w:p>
  <w:p w14:paraId="24197AB9" w14:textId="77777777" w:rsidR="001C2518" w:rsidRDefault="001C2518" w:rsidP="00C716E5">
    <w:pPr>
      <w:pStyle w:val="Footerportrait"/>
    </w:pPr>
  </w:p>
  <w:p w14:paraId="0085C5E1" w14:textId="63708D56" w:rsidR="001C2518" w:rsidRPr="00C907DF" w:rsidRDefault="00F857D4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825468">
        <w:t>IALA Guideline</w:t>
      </w:r>
    </w:fldSimple>
    <w:r w:rsidR="001C2518" w:rsidRPr="00C907DF">
      <w:t xml:space="preserve"> </w:t>
    </w:r>
    <w:fldSimple w:instr=" STYLEREF &quot;Document number&quot; \* MERGEFORMAT ">
      <w:r w:rsidR="00825468">
        <w:t>1016</w:t>
      </w:r>
    </w:fldSimple>
    <w:r w:rsidR="001C2518" w:rsidRPr="00C907DF">
      <w:t xml:space="preserve"> –</w:t>
    </w:r>
    <w:r w:rsidR="001C2518">
      <w:t xml:space="preserve"> </w:t>
    </w:r>
    <w:r w:rsidR="001C2518" w:rsidRPr="005609AE">
      <w:t>USE OF MOBILE AIDS TO NAVIGATION</w:t>
    </w:r>
    <w:r w:rsidR="001C2518">
      <w:tab/>
    </w:r>
  </w:p>
  <w:p w14:paraId="270504D5" w14:textId="5BBE07B9" w:rsidR="001C2518" w:rsidRPr="00C907DF" w:rsidRDefault="00F857D4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825468">
        <w:t>Edition 1.0</w:t>
      </w:r>
    </w:fldSimple>
    <w:r w:rsidR="001C2518">
      <w:t xml:space="preserve">  </w:t>
    </w:r>
    <w:fldSimple w:instr=" STYLEREF &quot;Document date&quot; \* MERGEFORMAT ">
      <w:r w:rsidR="00825468">
        <w:t>Document date</w:t>
      </w:r>
    </w:fldSimple>
    <w:r w:rsidR="001C2518">
      <w:tab/>
    </w:r>
    <w:r w:rsidR="001C2518">
      <w:rPr>
        <w:rStyle w:val="PageNumber"/>
        <w:szCs w:val="15"/>
      </w:rPr>
      <w:t xml:space="preserve">P </w:t>
    </w:r>
    <w:r w:rsidR="001C2518" w:rsidRPr="00C907DF">
      <w:rPr>
        <w:rStyle w:val="PageNumber"/>
        <w:szCs w:val="15"/>
      </w:rPr>
      <w:fldChar w:fldCharType="begin"/>
    </w:r>
    <w:r w:rsidR="001C2518" w:rsidRPr="00C907DF">
      <w:rPr>
        <w:rStyle w:val="PageNumber"/>
        <w:szCs w:val="15"/>
      </w:rPr>
      <w:instrText xml:space="preserve">PAGE  </w:instrText>
    </w:r>
    <w:r w:rsidR="001C2518" w:rsidRPr="00C907DF">
      <w:rPr>
        <w:rStyle w:val="PageNumber"/>
        <w:szCs w:val="15"/>
      </w:rPr>
      <w:fldChar w:fldCharType="separate"/>
    </w:r>
    <w:r w:rsidR="00554614">
      <w:rPr>
        <w:rStyle w:val="PageNumber"/>
        <w:szCs w:val="15"/>
      </w:rPr>
      <w:t>8</w:t>
    </w:r>
    <w:r w:rsidR="001C2518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14029" w14:textId="77777777" w:rsidR="00F857D4" w:rsidRDefault="00F857D4" w:rsidP="003274DB">
      <w:r>
        <w:separator/>
      </w:r>
    </w:p>
    <w:p w14:paraId="46570F14" w14:textId="77777777" w:rsidR="00F857D4" w:rsidRDefault="00F857D4"/>
  </w:footnote>
  <w:footnote w:type="continuationSeparator" w:id="0">
    <w:p w14:paraId="14EA5639" w14:textId="77777777" w:rsidR="00F857D4" w:rsidRDefault="00F857D4" w:rsidP="003274DB">
      <w:r>
        <w:continuationSeparator/>
      </w:r>
    </w:p>
    <w:p w14:paraId="7CFA8805" w14:textId="77777777" w:rsidR="00F857D4" w:rsidRDefault="00F857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75A0A" w14:textId="77777777" w:rsidR="00825468" w:rsidRDefault="008254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9E4FE" w14:textId="72C2577F" w:rsidR="001C2518" w:rsidRDefault="001C2518" w:rsidP="007562C1">
    <w:pPr>
      <w:pStyle w:val="Header"/>
      <w:jc w:val="right"/>
    </w:pPr>
    <w:r w:rsidRPr="00442889">
      <w:rPr>
        <w:noProof/>
        <w:lang w:val="nn-NO" w:eastAsia="nn-NO"/>
      </w:rPr>
      <w:drawing>
        <wp:anchor distT="0" distB="0" distL="114300" distR="114300" simplePos="0" relativeHeight="251657214" behindDoc="1" locked="0" layoutInCell="1" allowOverlap="1" wp14:anchorId="663B0A97" wp14:editId="0212264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ARM1</w:t>
    </w:r>
    <w:r w:rsidR="00825468">
      <w:t>2-7.3.6</w:t>
    </w:r>
  </w:p>
  <w:p w14:paraId="6FD2B857" w14:textId="36B89AF7" w:rsidR="001C2518" w:rsidRPr="00ED2A8D" w:rsidRDefault="001C2518" w:rsidP="007562C1">
    <w:pPr>
      <w:pStyle w:val="Header"/>
      <w:jc w:val="right"/>
    </w:pPr>
    <w:r>
      <w:t>(ARM1</w:t>
    </w:r>
    <w:r w:rsidR="002C5776">
      <w:t>1</w:t>
    </w:r>
    <w:r w:rsidR="00825468">
      <w:t>-13.2.1</w:t>
    </w:r>
    <w:bookmarkStart w:id="3" w:name="_GoBack"/>
    <w:bookmarkEnd w:id="3"/>
    <w:r>
      <w:t xml:space="preserve">) </w:t>
    </w:r>
  </w:p>
  <w:p w14:paraId="01F6DA2B" w14:textId="77777777" w:rsidR="001C2518" w:rsidRPr="00ED2A8D" w:rsidRDefault="001C2518" w:rsidP="008747E0">
    <w:pPr>
      <w:pStyle w:val="Header"/>
    </w:pPr>
  </w:p>
  <w:p w14:paraId="761C6122" w14:textId="77777777" w:rsidR="001C2518" w:rsidRDefault="001C2518" w:rsidP="008747E0">
    <w:pPr>
      <w:pStyle w:val="Header"/>
    </w:pPr>
  </w:p>
  <w:p w14:paraId="39C75A6D" w14:textId="77777777" w:rsidR="001C2518" w:rsidRDefault="001C2518" w:rsidP="008747E0">
    <w:pPr>
      <w:pStyle w:val="Header"/>
    </w:pPr>
  </w:p>
  <w:p w14:paraId="2FE4E8EE" w14:textId="77777777" w:rsidR="001C2518" w:rsidRDefault="001C2518" w:rsidP="008747E0">
    <w:pPr>
      <w:pStyle w:val="Header"/>
    </w:pPr>
  </w:p>
  <w:p w14:paraId="7BC8CA6C" w14:textId="77777777" w:rsidR="001C2518" w:rsidRDefault="001C2518" w:rsidP="008747E0">
    <w:pPr>
      <w:pStyle w:val="Header"/>
    </w:pPr>
  </w:p>
  <w:p w14:paraId="610A9AE0" w14:textId="77777777" w:rsidR="001C2518" w:rsidRDefault="001C2518" w:rsidP="008747E0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56189" behindDoc="1" locked="0" layoutInCell="1" allowOverlap="1" wp14:anchorId="0D5399C9" wp14:editId="288116DA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E47723" w14:textId="77777777" w:rsidR="001C2518" w:rsidRPr="00ED2A8D" w:rsidRDefault="001C2518" w:rsidP="008747E0">
    <w:pPr>
      <w:pStyle w:val="Header"/>
    </w:pPr>
  </w:p>
  <w:p w14:paraId="4DBB6BE8" w14:textId="77777777" w:rsidR="001C2518" w:rsidRPr="00ED2A8D" w:rsidRDefault="001C2518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10A44" w14:textId="77777777" w:rsidR="001C2518" w:rsidRDefault="001C2518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88960" behindDoc="1" locked="0" layoutInCell="1" allowOverlap="1" wp14:anchorId="1FEF7974" wp14:editId="411309A4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B3B0BD" w14:textId="77777777" w:rsidR="001C2518" w:rsidRDefault="001C2518">
    <w:pPr>
      <w:pStyle w:val="Header"/>
    </w:pPr>
  </w:p>
  <w:p w14:paraId="18901AEE" w14:textId="77777777" w:rsidR="001C2518" w:rsidRDefault="001C251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9CE17" w14:textId="77777777" w:rsidR="001C2518" w:rsidRPr="00ED2A8D" w:rsidRDefault="001C2518" w:rsidP="008747E0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58752" behindDoc="1" locked="0" layoutInCell="1" allowOverlap="1" wp14:anchorId="7931CE0C" wp14:editId="06BA9BE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B4427D" w14:textId="77777777" w:rsidR="001C2518" w:rsidRPr="00ED2A8D" w:rsidRDefault="001C2518" w:rsidP="008747E0">
    <w:pPr>
      <w:pStyle w:val="Header"/>
    </w:pPr>
  </w:p>
  <w:p w14:paraId="75679218" w14:textId="77777777" w:rsidR="001C2518" w:rsidRDefault="001C2518" w:rsidP="008747E0">
    <w:pPr>
      <w:pStyle w:val="Header"/>
    </w:pPr>
  </w:p>
  <w:p w14:paraId="215C9702" w14:textId="77777777" w:rsidR="001C2518" w:rsidRDefault="001C2518" w:rsidP="008747E0">
    <w:pPr>
      <w:pStyle w:val="Header"/>
    </w:pPr>
  </w:p>
  <w:p w14:paraId="7819FDF7" w14:textId="77777777" w:rsidR="001C2518" w:rsidRDefault="001C2518" w:rsidP="008747E0">
    <w:pPr>
      <w:pStyle w:val="Header"/>
    </w:pPr>
  </w:p>
  <w:p w14:paraId="1830EF8F" w14:textId="77777777" w:rsidR="001C2518" w:rsidRPr="00441393" w:rsidRDefault="001C2518" w:rsidP="00441393">
    <w:pPr>
      <w:pStyle w:val="Contents"/>
    </w:pPr>
    <w:r>
      <w:t>DOCUMENT REVISION</w:t>
    </w:r>
  </w:p>
  <w:p w14:paraId="2862FA1F" w14:textId="77777777" w:rsidR="001C2518" w:rsidRPr="00ED2A8D" w:rsidRDefault="001C2518" w:rsidP="008747E0">
    <w:pPr>
      <w:pStyle w:val="Header"/>
    </w:pPr>
  </w:p>
  <w:p w14:paraId="78224170" w14:textId="77777777" w:rsidR="001C2518" w:rsidRPr="00AC33A2" w:rsidRDefault="001C2518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897B6" w14:textId="77777777" w:rsidR="001C2518" w:rsidRPr="00ED2A8D" w:rsidRDefault="001C2518" w:rsidP="008747E0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74624" behindDoc="1" locked="0" layoutInCell="1" allowOverlap="1" wp14:anchorId="3FFB6BA5" wp14:editId="2B5D6F6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90D963" w14:textId="77777777" w:rsidR="001C2518" w:rsidRPr="00ED2A8D" w:rsidRDefault="001C2518" w:rsidP="008747E0">
    <w:pPr>
      <w:pStyle w:val="Header"/>
    </w:pPr>
  </w:p>
  <w:p w14:paraId="5EF0949D" w14:textId="77777777" w:rsidR="001C2518" w:rsidRDefault="001C2518" w:rsidP="008747E0">
    <w:pPr>
      <w:pStyle w:val="Header"/>
    </w:pPr>
  </w:p>
  <w:p w14:paraId="4E822938" w14:textId="77777777" w:rsidR="001C2518" w:rsidRDefault="001C2518" w:rsidP="008747E0">
    <w:pPr>
      <w:pStyle w:val="Header"/>
    </w:pPr>
  </w:p>
  <w:p w14:paraId="72742F8B" w14:textId="77777777" w:rsidR="001C2518" w:rsidRDefault="001C2518" w:rsidP="008747E0">
    <w:pPr>
      <w:pStyle w:val="Header"/>
    </w:pPr>
  </w:p>
  <w:p w14:paraId="6E50DE68" w14:textId="77777777" w:rsidR="001C2518" w:rsidRPr="00441393" w:rsidRDefault="001C2518" w:rsidP="00441393">
    <w:pPr>
      <w:pStyle w:val="Contents"/>
    </w:pPr>
    <w:r>
      <w:t>CONTENTS</w:t>
    </w:r>
  </w:p>
  <w:p w14:paraId="2F711FD0" w14:textId="77777777" w:rsidR="001C2518" w:rsidRDefault="001C2518" w:rsidP="0078486B">
    <w:pPr>
      <w:pStyle w:val="Header"/>
      <w:spacing w:line="140" w:lineRule="exact"/>
    </w:pPr>
  </w:p>
  <w:p w14:paraId="21DE34EC" w14:textId="77777777" w:rsidR="001C2518" w:rsidRPr="00AC33A2" w:rsidRDefault="001C2518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4E52D" w14:textId="77777777" w:rsidR="001C2518" w:rsidRPr="00ED2A8D" w:rsidRDefault="001C2518" w:rsidP="00C716E5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97152" behindDoc="1" locked="0" layoutInCell="1" allowOverlap="1" wp14:anchorId="3A87DA26" wp14:editId="08C8B6D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78A8E4" w14:textId="77777777" w:rsidR="001C2518" w:rsidRPr="00ED2A8D" w:rsidRDefault="001C2518" w:rsidP="00C716E5">
    <w:pPr>
      <w:pStyle w:val="Header"/>
    </w:pPr>
  </w:p>
  <w:p w14:paraId="62F41FD9" w14:textId="77777777" w:rsidR="001C2518" w:rsidRDefault="001C2518" w:rsidP="00C716E5">
    <w:pPr>
      <w:pStyle w:val="Header"/>
    </w:pPr>
  </w:p>
  <w:p w14:paraId="4A76ACAF" w14:textId="77777777" w:rsidR="001C2518" w:rsidRDefault="001C2518" w:rsidP="00C716E5">
    <w:pPr>
      <w:pStyle w:val="Header"/>
    </w:pPr>
  </w:p>
  <w:p w14:paraId="45CBA225" w14:textId="77777777" w:rsidR="001C2518" w:rsidRDefault="001C2518" w:rsidP="00C716E5">
    <w:pPr>
      <w:pStyle w:val="Header"/>
    </w:pPr>
  </w:p>
  <w:p w14:paraId="301846D9" w14:textId="77777777" w:rsidR="001C2518" w:rsidRPr="00441393" w:rsidRDefault="001C2518" w:rsidP="00C716E5">
    <w:pPr>
      <w:pStyle w:val="Contents"/>
    </w:pPr>
    <w:r>
      <w:t>CONTENTS</w:t>
    </w:r>
  </w:p>
  <w:p w14:paraId="2E62D1C4" w14:textId="77777777" w:rsidR="001C2518" w:rsidRPr="00ED2A8D" w:rsidRDefault="001C2518" w:rsidP="00C716E5">
    <w:pPr>
      <w:pStyle w:val="Header"/>
    </w:pPr>
  </w:p>
  <w:p w14:paraId="20162B5D" w14:textId="77777777" w:rsidR="001C2518" w:rsidRPr="00AC33A2" w:rsidRDefault="001C2518" w:rsidP="00C716E5">
    <w:pPr>
      <w:pStyle w:val="Header"/>
      <w:spacing w:line="140" w:lineRule="exact"/>
    </w:pPr>
  </w:p>
  <w:p w14:paraId="0D8A5C7D" w14:textId="77777777" w:rsidR="001C2518" w:rsidRDefault="001C2518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95104" behindDoc="1" locked="0" layoutInCell="1" allowOverlap="1" wp14:anchorId="171AA062" wp14:editId="7387A05F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9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DDD4D" w14:textId="77777777" w:rsidR="001C2518" w:rsidRPr="00667792" w:rsidRDefault="001C2518" w:rsidP="00667792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78720" behindDoc="1" locked="0" layoutInCell="1" allowOverlap="1" wp14:anchorId="3520555F" wp14:editId="3477F6E7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26341CB"/>
    <w:multiLevelType w:val="hybridMultilevel"/>
    <w:tmpl w:val="762A9BB2"/>
    <w:lvl w:ilvl="0" w:tplc="D1E83E68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AAC24A1"/>
    <w:multiLevelType w:val="hybridMultilevel"/>
    <w:tmpl w:val="12CCA15E"/>
    <w:lvl w:ilvl="0" w:tplc="DA1A91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2271BAF"/>
    <w:multiLevelType w:val="multilevel"/>
    <w:tmpl w:val="B8288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2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C7A317D"/>
    <w:multiLevelType w:val="hybridMultilevel"/>
    <w:tmpl w:val="817631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C82901"/>
    <w:multiLevelType w:val="hybridMultilevel"/>
    <w:tmpl w:val="851645DA"/>
    <w:lvl w:ilvl="0" w:tplc="005AE9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332666E9"/>
    <w:multiLevelType w:val="hybridMultilevel"/>
    <w:tmpl w:val="9070B5EE"/>
    <w:lvl w:ilvl="0" w:tplc="005AE9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9D67D1A"/>
    <w:multiLevelType w:val="hybridMultilevel"/>
    <w:tmpl w:val="B0CC1768"/>
    <w:lvl w:ilvl="0" w:tplc="005AE9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6E33BA1"/>
    <w:multiLevelType w:val="multilevel"/>
    <w:tmpl w:val="87AE95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58C36D85"/>
    <w:multiLevelType w:val="multilevel"/>
    <w:tmpl w:val="B8288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5DB073C4"/>
    <w:multiLevelType w:val="hybridMultilevel"/>
    <w:tmpl w:val="D518A7C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953F28"/>
    <w:multiLevelType w:val="hybridMultilevel"/>
    <w:tmpl w:val="3CA28C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A976AC"/>
    <w:multiLevelType w:val="multilevel"/>
    <w:tmpl w:val="05CA57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7AB4D84"/>
    <w:multiLevelType w:val="multilevel"/>
    <w:tmpl w:val="44C6EF2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6E4F127A"/>
    <w:multiLevelType w:val="hybridMultilevel"/>
    <w:tmpl w:val="0C0EDD8E"/>
    <w:lvl w:ilvl="0" w:tplc="0C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60"/>
  </w:num>
  <w:num w:numId="3">
    <w:abstractNumId w:val="20"/>
  </w:num>
  <w:num w:numId="4">
    <w:abstractNumId w:val="38"/>
  </w:num>
  <w:num w:numId="5">
    <w:abstractNumId w:val="32"/>
  </w:num>
  <w:num w:numId="6">
    <w:abstractNumId w:val="21"/>
  </w:num>
  <w:num w:numId="7">
    <w:abstractNumId w:val="30"/>
  </w:num>
  <w:num w:numId="8">
    <w:abstractNumId w:val="41"/>
  </w:num>
  <w:num w:numId="9">
    <w:abstractNumId w:val="19"/>
  </w:num>
  <w:num w:numId="10">
    <w:abstractNumId w:val="29"/>
  </w:num>
  <w:num w:numId="11">
    <w:abstractNumId w:val="33"/>
  </w:num>
  <w:num w:numId="12">
    <w:abstractNumId w:val="15"/>
  </w:num>
  <w:num w:numId="13">
    <w:abstractNumId w:val="43"/>
  </w:num>
  <w:num w:numId="14">
    <w:abstractNumId w:val="8"/>
  </w:num>
  <w:num w:numId="15">
    <w:abstractNumId w:val="55"/>
  </w:num>
  <w:num w:numId="16">
    <w:abstractNumId w:val="57"/>
  </w:num>
  <w:num w:numId="17">
    <w:abstractNumId w:val="27"/>
  </w:num>
  <w:num w:numId="18">
    <w:abstractNumId w:val="25"/>
  </w:num>
  <w:num w:numId="19">
    <w:abstractNumId w:val="58"/>
  </w:num>
  <w:num w:numId="20">
    <w:abstractNumId w:val="40"/>
  </w:num>
  <w:num w:numId="21">
    <w:abstractNumId w:val="12"/>
  </w:num>
  <w:num w:numId="22">
    <w:abstractNumId w:val="24"/>
  </w:num>
  <w:num w:numId="23">
    <w:abstractNumId w:val="49"/>
  </w:num>
  <w:num w:numId="24">
    <w:abstractNumId w:val="22"/>
  </w:num>
  <w:num w:numId="25">
    <w:abstractNumId w:val="59"/>
  </w:num>
  <w:num w:numId="26">
    <w:abstractNumId w:val="10"/>
  </w:num>
  <w:num w:numId="27">
    <w:abstractNumId w:val="36"/>
  </w:num>
  <w:num w:numId="28">
    <w:abstractNumId w:val="31"/>
  </w:num>
  <w:num w:numId="29">
    <w:abstractNumId w:val="48"/>
  </w:num>
  <w:num w:numId="30">
    <w:abstractNumId w:val="51"/>
  </w:num>
  <w:num w:numId="31">
    <w:abstractNumId w:val="16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45"/>
  </w:num>
  <w:num w:numId="42">
    <w:abstractNumId w:val="23"/>
  </w:num>
  <w:num w:numId="43">
    <w:abstractNumId w:val="47"/>
  </w:num>
  <w:num w:numId="44">
    <w:abstractNumId w:val="14"/>
  </w:num>
  <w:num w:numId="45">
    <w:abstractNumId w:val="42"/>
  </w:num>
  <w:num w:numId="46">
    <w:abstractNumId w:val="17"/>
  </w:num>
  <w:num w:numId="47">
    <w:abstractNumId w:val="34"/>
  </w:num>
  <w:num w:numId="48">
    <w:abstractNumId w:val="37"/>
  </w:num>
  <w:num w:numId="49">
    <w:abstractNumId w:val="39"/>
  </w:num>
  <w:num w:numId="50">
    <w:abstractNumId w:val="35"/>
  </w:num>
  <w:num w:numId="51">
    <w:abstractNumId w:val="28"/>
  </w:num>
  <w:num w:numId="52">
    <w:abstractNumId w:val="11"/>
  </w:num>
  <w:num w:numId="53">
    <w:abstractNumId w:val="26"/>
  </w:num>
  <w:num w:numId="54">
    <w:abstractNumId w:val="53"/>
  </w:num>
  <w:num w:numId="55">
    <w:abstractNumId w:val="55"/>
  </w:num>
  <w:num w:numId="56">
    <w:abstractNumId w:val="55"/>
  </w:num>
  <w:num w:numId="57">
    <w:abstractNumId w:val="13"/>
  </w:num>
  <w:num w:numId="58">
    <w:abstractNumId w:val="55"/>
  </w:num>
  <w:num w:numId="59">
    <w:abstractNumId w:val="56"/>
  </w:num>
  <w:num w:numId="60">
    <w:abstractNumId w:val="54"/>
  </w:num>
  <w:num w:numId="61">
    <w:abstractNumId w:val="44"/>
  </w:num>
  <w:num w:numId="6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8"/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ren, Guttorm">
    <w15:presenceInfo w15:providerId="AD" w15:userId="S-1-5-21-1409082233-1343024091-725345543-26418"/>
  </w15:person>
  <w15:person w15:author="Tom Southall">
    <w15:presenceInfo w15:providerId="None" w15:userId="Tom Southa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IE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es-MX" w:vendorID="64" w:dllVersion="6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AE9"/>
    <w:rsid w:val="00003C80"/>
    <w:rsid w:val="00006B77"/>
    <w:rsid w:val="0001616D"/>
    <w:rsid w:val="00016839"/>
    <w:rsid w:val="000174F9"/>
    <w:rsid w:val="00021E5E"/>
    <w:rsid w:val="000249C2"/>
    <w:rsid w:val="000258F6"/>
    <w:rsid w:val="00026AE1"/>
    <w:rsid w:val="000379A7"/>
    <w:rsid w:val="00040EB8"/>
    <w:rsid w:val="0005449E"/>
    <w:rsid w:val="00057B6D"/>
    <w:rsid w:val="00061A7B"/>
    <w:rsid w:val="00081E83"/>
    <w:rsid w:val="00084025"/>
    <w:rsid w:val="0008654C"/>
    <w:rsid w:val="000870B0"/>
    <w:rsid w:val="000904ED"/>
    <w:rsid w:val="00091545"/>
    <w:rsid w:val="000A27A8"/>
    <w:rsid w:val="000B2356"/>
    <w:rsid w:val="000B51FE"/>
    <w:rsid w:val="000C0832"/>
    <w:rsid w:val="000C6E41"/>
    <w:rsid w:val="000C711B"/>
    <w:rsid w:val="000D154A"/>
    <w:rsid w:val="000D2202"/>
    <w:rsid w:val="000D2431"/>
    <w:rsid w:val="000D47AF"/>
    <w:rsid w:val="000E3954"/>
    <w:rsid w:val="000E3E52"/>
    <w:rsid w:val="000F0F9F"/>
    <w:rsid w:val="000F2E86"/>
    <w:rsid w:val="000F3F43"/>
    <w:rsid w:val="000F4286"/>
    <w:rsid w:val="000F58ED"/>
    <w:rsid w:val="0010097F"/>
    <w:rsid w:val="00104F6A"/>
    <w:rsid w:val="00107088"/>
    <w:rsid w:val="00110F73"/>
    <w:rsid w:val="00113D5B"/>
    <w:rsid w:val="00113F8F"/>
    <w:rsid w:val="00114781"/>
    <w:rsid w:val="00116242"/>
    <w:rsid w:val="00122E5F"/>
    <w:rsid w:val="00122EBD"/>
    <w:rsid w:val="00126224"/>
    <w:rsid w:val="00127CE9"/>
    <w:rsid w:val="001349DB"/>
    <w:rsid w:val="0013517F"/>
    <w:rsid w:val="00135AEB"/>
    <w:rsid w:val="00136E58"/>
    <w:rsid w:val="001435A5"/>
    <w:rsid w:val="00144A11"/>
    <w:rsid w:val="0015038B"/>
    <w:rsid w:val="00152969"/>
    <w:rsid w:val="001547F9"/>
    <w:rsid w:val="0015643E"/>
    <w:rsid w:val="001607D8"/>
    <w:rsid w:val="00161325"/>
    <w:rsid w:val="00162649"/>
    <w:rsid w:val="00162ABF"/>
    <w:rsid w:val="00174AE1"/>
    <w:rsid w:val="00176EBF"/>
    <w:rsid w:val="00184427"/>
    <w:rsid w:val="00184C2E"/>
    <w:rsid w:val="001875B1"/>
    <w:rsid w:val="0019610A"/>
    <w:rsid w:val="001A4D47"/>
    <w:rsid w:val="001B0C1D"/>
    <w:rsid w:val="001B2A35"/>
    <w:rsid w:val="001B339A"/>
    <w:rsid w:val="001C2518"/>
    <w:rsid w:val="001C645B"/>
    <w:rsid w:val="001C650B"/>
    <w:rsid w:val="001C72B5"/>
    <w:rsid w:val="001C7E40"/>
    <w:rsid w:val="001D2E7A"/>
    <w:rsid w:val="001D3992"/>
    <w:rsid w:val="001D4A3E"/>
    <w:rsid w:val="001E416D"/>
    <w:rsid w:val="001E4B5A"/>
    <w:rsid w:val="001F099F"/>
    <w:rsid w:val="001F3681"/>
    <w:rsid w:val="001F4EF8"/>
    <w:rsid w:val="001F5AB1"/>
    <w:rsid w:val="001F7761"/>
    <w:rsid w:val="001F79F9"/>
    <w:rsid w:val="00201337"/>
    <w:rsid w:val="002022EA"/>
    <w:rsid w:val="00202E01"/>
    <w:rsid w:val="002039EB"/>
    <w:rsid w:val="002044E9"/>
    <w:rsid w:val="00205774"/>
    <w:rsid w:val="00205B17"/>
    <w:rsid w:val="00205D9B"/>
    <w:rsid w:val="0020768A"/>
    <w:rsid w:val="00214C5E"/>
    <w:rsid w:val="002204DA"/>
    <w:rsid w:val="0022371A"/>
    <w:rsid w:val="002307A7"/>
    <w:rsid w:val="00233426"/>
    <w:rsid w:val="00237785"/>
    <w:rsid w:val="00251A63"/>
    <w:rsid w:val="00251FB9"/>
    <w:rsid w:val="002520AD"/>
    <w:rsid w:val="0025603B"/>
    <w:rsid w:val="0025660A"/>
    <w:rsid w:val="00257DF8"/>
    <w:rsid w:val="00257E4A"/>
    <w:rsid w:val="0026038D"/>
    <w:rsid w:val="00260699"/>
    <w:rsid w:val="0027175D"/>
    <w:rsid w:val="00271923"/>
    <w:rsid w:val="00292679"/>
    <w:rsid w:val="0029793F"/>
    <w:rsid w:val="002A0220"/>
    <w:rsid w:val="002A1C42"/>
    <w:rsid w:val="002A3D66"/>
    <w:rsid w:val="002A5601"/>
    <w:rsid w:val="002A617C"/>
    <w:rsid w:val="002A71CF"/>
    <w:rsid w:val="002B3E9D"/>
    <w:rsid w:val="002B4D0D"/>
    <w:rsid w:val="002C5776"/>
    <w:rsid w:val="002C5B46"/>
    <w:rsid w:val="002C77F4"/>
    <w:rsid w:val="002C7A34"/>
    <w:rsid w:val="002C7D40"/>
    <w:rsid w:val="002D0869"/>
    <w:rsid w:val="002D78FE"/>
    <w:rsid w:val="002E4993"/>
    <w:rsid w:val="002E5BAC"/>
    <w:rsid w:val="002E66BB"/>
    <w:rsid w:val="002E7635"/>
    <w:rsid w:val="002F15C7"/>
    <w:rsid w:val="002F265A"/>
    <w:rsid w:val="0030413F"/>
    <w:rsid w:val="00305611"/>
    <w:rsid w:val="00305EFE"/>
    <w:rsid w:val="003117F6"/>
    <w:rsid w:val="00313B4B"/>
    <w:rsid w:val="00313D85"/>
    <w:rsid w:val="00315798"/>
    <w:rsid w:val="00315CE3"/>
    <w:rsid w:val="0031629B"/>
    <w:rsid w:val="00317034"/>
    <w:rsid w:val="003251FE"/>
    <w:rsid w:val="003274DB"/>
    <w:rsid w:val="00327FBF"/>
    <w:rsid w:val="00331448"/>
    <w:rsid w:val="00331C73"/>
    <w:rsid w:val="00332A7B"/>
    <w:rsid w:val="00332F8D"/>
    <w:rsid w:val="003334C7"/>
    <w:rsid w:val="003343E0"/>
    <w:rsid w:val="00335E40"/>
    <w:rsid w:val="003438E2"/>
    <w:rsid w:val="00344408"/>
    <w:rsid w:val="00345E37"/>
    <w:rsid w:val="00347F3E"/>
    <w:rsid w:val="00350B51"/>
    <w:rsid w:val="003621C3"/>
    <w:rsid w:val="00362C3D"/>
    <w:rsid w:val="0036382D"/>
    <w:rsid w:val="003649E9"/>
    <w:rsid w:val="003801C5"/>
    <w:rsid w:val="00380350"/>
    <w:rsid w:val="00380B4E"/>
    <w:rsid w:val="00380EFB"/>
    <w:rsid w:val="003816E4"/>
    <w:rsid w:val="00385563"/>
    <w:rsid w:val="0039131E"/>
    <w:rsid w:val="0039234D"/>
    <w:rsid w:val="003A04A6"/>
    <w:rsid w:val="003A1A96"/>
    <w:rsid w:val="003A7759"/>
    <w:rsid w:val="003A7F6E"/>
    <w:rsid w:val="003B03EA"/>
    <w:rsid w:val="003B2CC5"/>
    <w:rsid w:val="003B4069"/>
    <w:rsid w:val="003C5A8B"/>
    <w:rsid w:val="003C7C34"/>
    <w:rsid w:val="003D0F37"/>
    <w:rsid w:val="003D10D1"/>
    <w:rsid w:val="003D5150"/>
    <w:rsid w:val="003E46FE"/>
    <w:rsid w:val="003F0A76"/>
    <w:rsid w:val="003F1901"/>
    <w:rsid w:val="003F1C3A"/>
    <w:rsid w:val="00400206"/>
    <w:rsid w:val="00404AC1"/>
    <w:rsid w:val="0041086B"/>
    <w:rsid w:val="00414698"/>
    <w:rsid w:val="0042565E"/>
    <w:rsid w:val="00430F61"/>
    <w:rsid w:val="00432C05"/>
    <w:rsid w:val="00435F4A"/>
    <w:rsid w:val="004362A9"/>
    <w:rsid w:val="00440379"/>
    <w:rsid w:val="00441393"/>
    <w:rsid w:val="00442A3B"/>
    <w:rsid w:val="00447CF0"/>
    <w:rsid w:val="00456F10"/>
    <w:rsid w:val="00461893"/>
    <w:rsid w:val="00462450"/>
    <w:rsid w:val="004731AD"/>
    <w:rsid w:val="00474746"/>
    <w:rsid w:val="00475128"/>
    <w:rsid w:val="00476942"/>
    <w:rsid w:val="00477D62"/>
    <w:rsid w:val="004871A2"/>
    <w:rsid w:val="0049015D"/>
    <w:rsid w:val="00490CDE"/>
    <w:rsid w:val="00491AF1"/>
    <w:rsid w:val="00492A8D"/>
    <w:rsid w:val="004944C8"/>
    <w:rsid w:val="004A0EBF"/>
    <w:rsid w:val="004A4EC4"/>
    <w:rsid w:val="004A55BD"/>
    <w:rsid w:val="004A65E8"/>
    <w:rsid w:val="004C0E4B"/>
    <w:rsid w:val="004D0DB8"/>
    <w:rsid w:val="004D7282"/>
    <w:rsid w:val="004E0BBB"/>
    <w:rsid w:val="004E110C"/>
    <w:rsid w:val="004E1D57"/>
    <w:rsid w:val="004E24C2"/>
    <w:rsid w:val="004E2F16"/>
    <w:rsid w:val="004E789E"/>
    <w:rsid w:val="004F0314"/>
    <w:rsid w:val="004F206F"/>
    <w:rsid w:val="004F5930"/>
    <w:rsid w:val="004F6196"/>
    <w:rsid w:val="00503044"/>
    <w:rsid w:val="0051029F"/>
    <w:rsid w:val="005110F4"/>
    <w:rsid w:val="00517352"/>
    <w:rsid w:val="00522A93"/>
    <w:rsid w:val="00523666"/>
    <w:rsid w:val="00524344"/>
    <w:rsid w:val="00525922"/>
    <w:rsid w:val="00526234"/>
    <w:rsid w:val="005277C1"/>
    <w:rsid w:val="005333CA"/>
    <w:rsid w:val="005338C0"/>
    <w:rsid w:val="00534F34"/>
    <w:rsid w:val="0053692E"/>
    <w:rsid w:val="005378A6"/>
    <w:rsid w:val="005433CD"/>
    <w:rsid w:val="005464C7"/>
    <w:rsid w:val="00547837"/>
    <w:rsid w:val="00554614"/>
    <w:rsid w:val="00557434"/>
    <w:rsid w:val="005609AE"/>
    <w:rsid w:val="00566453"/>
    <w:rsid w:val="005805D2"/>
    <w:rsid w:val="00582784"/>
    <w:rsid w:val="00586034"/>
    <w:rsid w:val="00595415"/>
    <w:rsid w:val="0059593E"/>
    <w:rsid w:val="00596A0F"/>
    <w:rsid w:val="00597652"/>
    <w:rsid w:val="005A0703"/>
    <w:rsid w:val="005A080B"/>
    <w:rsid w:val="005A4ACD"/>
    <w:rsid w:val="005A67A4"/>
    <w:rsid w:val="005B12A5"/>
    <w:rsid w:val="005B4E29"/>
    <w:rsid w:val="005B5F56"/>
    <w:rsid w:val="005C161A"/>
    <w:rsid w:val="005C1BCB"/>
    <w:rsid w:val="005C2312"/>
    <w:rsid w:val="005C4735"/>
    <w:rsid w:val="005C5C63"/>
    <w:rsid w:val="005D03E9"/>
    <w:rsid w:val="005D0546"/>
    <w:rsid w:val="005D304B"/>
    <w:rsid w:val="005D3AF4"/>
    <w:rsid w:val="005D3CDE"/>
    <w:rsid w:val="005D5324"/>
    <w:rsid w:val="005D6E5D"/>
    <w:rsid w:val="005E30D2"/>
    <w:rsid w:val="005E3989"/>
    <w:rsid w:val="005E4659"/>
    <w:rsid w:val="005E657A"/>
    <w:rsid w:val="005F1386"/>
    <w:rsid w:val="005F17C2"/>
    <w:rsid w:val="005F19EC"/>
    <w:rsid w:val="005F2984"/>
    <w:rsid w:val="005F3A6E"/>
    <w:rsid w:val="00600C2B"/>
    <w:rsid w:val="00600D5B"/>
    <w:rsid w:val="00602172"/>
    <w:rsid w:val="00602FED"/>
    <w:rsid w:val="006031BE"/>
    <w:rsid w:val="006046B5"/>
    <w:rsid w:val="006127AC"/>
    <w:rsid w:val="00620699"/>
    <w:rsid w:val="006218E8"/>
    <w:rsid w:val="006245E8"/>
    <w:rsid w:val="0063220F"/>
    <w:rsid w:val="00634A78"/>
    <w:rsid w:val="00642025"/>
    <w:rsid w:val="00646390"/>
    <w:rsid w:val="00646E87"/>
    <w:rsid w:val="0065107F"/>
    <w:rsid w:val="00661445"/>
    <w:rsid w:val="00661946"/>
    <w:rsid w:val="00665F70"/>
    <w:rsid w:val="00666061"/>
    <w:rsid w:val="00667424"/>
    <w:rsid w:val="00667792"/>
    <w:rsid w:val="0067154B"/>
    <w:rsid w:val="00671677"/>
    <w:rsid w:val="006744D8"/>
    <w:rsid w:val="006748BC"/>
    <w:rsid w:val="006750F2"/>
    <w:rsid w:val="006752D6"/>
    <w:rsid w:val="00675E02"/>
    <w:rsid w:val="00681116"/>
    <w:rsid w:val="0068553C"/>
    <w:rsid w:val="00685F34"/>
    <w:rsid w:val="00695656"/>
    <w:rsid w:val="006958EC"/>
    <w:rsid w:val="006975A8"/>
    <w:rsid w:val="006A1012"/>
    <w:rsid w:val="006A6E64"/>
    <w:rsid w:val="006C1376"/>
    <w:rsid w:val="006C3F4A"/>
    <w:rsid w:val="006C48F9"/>
    <w:rsid w:val="006E0E7D"/>
    <w:rsid w:val="006E10BF"/>
    <w:rsid w:val="006E5FB0"/>
    <w:rsid w:val="006F1C14"/>
    <w:rsid w:val="006F2DB8"/>
    <w:rsid w:val="007039BD"/>
    <w:rsid w:val="00703A6A"/>
    <w:rsid w:val="00704658"/>
    <w:rsid w:val="00713110"/>
    <w:rsid w:val="00714173"/>
    <w:rsid w:val="00721932"/>
    <w:rsid w:val="00722236"/>
    <w:rsid w:val="00725CCA"/>
    <w:rsid w:val="0072737A"/>
    <w:rsid w:val="007311E7"/>
    <w:rsid w:val="00731DEE"/>
    <w:rsid w:val="007338D9"/>
    <w:rsid w:val="00733AAF"/>
    <w:rsid w:val="0073444D"/>
    <w:rsid w:val="00734BC6"/>
    <w:rsid w:val="007353CB"/>
    <w:rsid w:val="007412C1"/>
    <w:rsid w:val="007427B2"/>
    <w:rsid w:val="007541D3"/>
    <w:rsid w:val="007562C1"/>
    <w:rsid w:val="007577D7"/>
    <w:rsid w:val="0076432A"/>
    <w:rsid w:val="007715E8"/>
    <w:rsid w:val="00775328"/>
    <w:rsid w:val="007756C9"/>
    <w:rsid w:val="007759DA"/>
    <w:rsid w:val="00776004"/>
    <w:rsid w:val="00780162"/>
    <w:rsid w:val="0078486B"/>
    <w:rsid w:val="00785A39"/>
    <w:rsid w:val="00787C8A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1A0B"/>
    <w:rsid w:val="007B27E9"/>
    <w:rsid w:val="007B2C5B"/>
    <w:rsid w:val="007B2D11"/>
    <w:rsid w:val="007B6700"/>
    <w:rsid w:val="007B6A93"/>
    <w:rsid w:val="007B7BEC"/>
    <w:rsid w:val="007C4435"/>
    <w:rsid w:val="007D1805"/>
    <w:rsid w:val="007D2107"/>
    <w:rsid w:val="007D26E2"/>
    <w:rsid w:val="007D3A42"/>
    <w:rsid w:val="007D5895"/>
    <w:rsid w:val="007D5BC3"/>
    <w:rsid w:val="007D77AB"/>
    <w:rsid w:val="007E28D0"/>
    <w:rsid w:val="007E30DF"/>
    <w:rsid w:val="007E5272"/>
    <w:rsid w:val="007F1002"/>
    <w:rsid w:val="007F2FC9"/>
    <w:rsid w:val="007F7361"/>
    <w:rsid w:val="007F7544"/>
    <w:rsid w:val="00800995"/>
    <w:rsid w:val="008116D4"/>
    <w:rsid w:val="00813134"/>
    <w:rsid w:val="00816F79"/>
    <w:rsid w:val="008172F8"/>
    <w:rsid w:val="008237BC"/>
    <w:rsid w:val="00825468"/>
    <w:rsid w:val="00826465"/>
    <w:rsid w:val="008326B2"/>
    <w:rsid w:val="00835125"/>
    <w:rsid w:val="00842EAF"/>
    <w:rsid w:val="00845A44"/>
    <w:rsid w:val="00845B30"/>
    <w:rsid w:val="00846831"/>
    <w:rsid w:val="00856D2C"/>
    <w:rsid w:val="00857D75"/>
    <w:rsid w:val="00865532"/>
    <w:rsid w:val="00867686"/>
    <w:rsid w:val="00870D30"/>
    <w:rsid w:val="008737D3"/>
    <w:rsid w:val="008747E0"/>
    <w:rsid w:val="00876841"/>
    <w:rsid w:val="00882B3C"/>
    <w:rsid w:val="0088783D"/>
    <w:rsid w:val="00892D50"/>
    <w:rsid w:val="00895CCE"/>
    <w:rsid w:val="008972C3"/>
    <w:rsid w:val="008A28D9"/>
    <w:rsid w:val="008A30BA"/>
    <w:rsid w:val="008A54FA"/>
    <w:rsid w:val="008B1359"/>
    <w:rsid w:val="008C075E"/>
    <w:rsid w:val="008C33B5"/>
    <w:rsid w:val="008C3A72"/>
    <w:rsid w:val="008C6969"/>
    <w:rsid w:val="008E1F69"/>
    <w:rsid w:val="008E76B1"/>
    <w:rsid w:val="008F38BB"/>
    <w:rsid w:val="008F52C1"/>
    <w:rsid w:val="008F57D8"/>
    <w:rsid w:val="00900D3F"/>
    <w:rsid w:val="00902834"/>
    <w:rsid w:val="00904529"/>
    <w:rsid w:val="00914330"/>
    <w:rsid w:val="00914E26"/>
    <w:rsid w:val="0091590F"/>
    <w:rsid w:val="00915B1C"/>
    <w:rsid w:val="00915F7E"/>
    <w:rsid w:val="00923B4D"/>
    <w:rsid w:val="0092540C"/>
    <w:rsid w:val="00925E0F"/>
    <w:rsid w:val="009262B6"/>
    <w:rsid w:val="00930569"/>
    <w:rsid w:val="00931A57"/>
    <w:rsid w:val="0093492E"/>
    <w:rsid w:val="009414E6"/>
    <w:rsid w:val="00943A8F"/>
    <w:rsid w:val="009452AE"/>
    <w:rsid w:val="00953484"/>
    <w:rsid w:val="0095450F"/>
    <w:rsid w:val="00956901"/>
    <w:rsid w:val="0096112D"/>
    <w:rsid w:val="00962EC1"/>
    <w:rsid w:val="00964E08"/>
    <w:rsid w:val="00970704"/>
    <w:rsid w:val="00971591"/>
    <w:rsid w:val="00974564"/>
    <w:rsid w:val="00974E99"/>
    <w:rsid w:val="009764FA"/>
    <w:rsid w:val="00976E11"/>
    <w:rsid w:val="009770B8"/>
    <w:rsid w:val="00980192"/>
    <w:rsid w:val="00982A22"/>
    <w:rsid w:val="00994D97"/>
    <w:rsid w:val="00997006"/>
    <w:rsid w:val="009A07B7"/>
    <w:rsid w:val="009A0C10"/>
    <w:rsid w:val="009A39F1"/>
    <w:rsid w:val="009B1545"/>
    <w:rsid w:val="009B5023"/>
    <w:rsid w:val="009B543F"/>
    <w:rsid w:val="009B785E"/>
    <w:rsid w:val="009C26F8"/>
    <w:rsid w:val="009C609E"/>
    <w:rsid w:val="009D25B8"/>
    <w:rsid w:val="009D26AB"/>
    <w:rsid w:val="009D5B4F"/>
    <w:rsid w:val="009D79E8"/>
    <w:rsid w:val="009E16EC"/>
    <w:rsid w:val="009E433C"/>
    <w:rsid w:val="009E49C6"/>
    <w:rsid w:val="009E4A4D"/>
    <w:rsid w:val="009E6578"/>
    <w:rsid w:val="009E70F5"/>
    <w:rsid w:val="009F081F"/>
    <w:rsid w:val="009F1370"/>
    <w:rsid w:val="009F2D0F"/>
    <w:rsid w:val="009F4B11"/>
    <w:rsid w:val="00A06A3D"/>
    <w:rsid w:val="00A10EBA"/>
    <w:rsid w:val="00A13BAE"/>
    <w:rsid w:val="00A13E56"/>
    <w:rsid w:val="00A143A9"/>
    <w:rsid w:val="00A16607"/>
    <w:rsid w:val="00A16E3B"/>
    <w:rsid w:val="00A201DE"/>
    <w:rsid w:val="00A214B3"/>
    <w:rsid w:val="00A227BF"/>
    <w:rsid w:val="00A23664"/>
    <w:rsid w:val="00A24838"/>
    <w:rsid w:val="00A270A1"/>
    <w:rsid w:val="00A2743E"/>
    <w:rsid w:val="00A30C33"/>
    <w:rsid w:val="00A424B0"/>
    <w:rsid w:val="00A4308C"/>
    <w:rsid w:val="00A44836"/>
    <w:rsid w:val="00A524B5"/>
    <w:rsid w:val="00A53B2D"/>
    <w:rsid w:val="00A549B3"/>
    <w:rsid w:val="00A56184"/>
    <w:rsid w:val="00A6454A"/>
    <w:rsid w:val="00A655C9"/>
    <w:rsid w:val="00A66025"/>
    <w:rsid w:val="00A67954"/>
    <w:rsid w:val="00A72ED7"/>
    <w:rsid w:val="00A743D8"/>
    <w:rsid w:val="00A748A1"/>
    <w:rsid w:val="00A8083F"/>
    <w:rsid w:val="00A90D86"/>
    <w:rsid w:val="00A91DBA"/>
    <w:rsid w:val="00A951DD"/>
    <w:rsid w:val="00A97900"/>
    <w:rsid w:val="00AA1D7A"/>
    <w:rsid w:val="00AA3E01"/>
    <w:rsid w:val="00AB0BFA"/>
    <w:rsid w:val="00AB2627"/>
    <w:rsid w:val="00AB76B7"/>
    <w:rsid w:val="00AC25F4"/>
    <w:rsid w:val="00AC33A2"/>
    <w:rsid w:val="00AC3DA1"/>
    <w:rsid w:val="00AD38F7"/>
    <w:rsid w:val="00AD68C5"/>
    <w:rsid w:val="00AE2E6C"/>
    <w:rsid w:val="00AE65F1"/>
    <w:rsid w:val="00AE6BB4"/>
    <w:rsid w:val="00AE74AD"/>
    <w:rsid w:val="00AF159C"/>
    <w:rsid w:val="00AF30C9"/>
    <w:rsid w:val="00AF57D6"/>
    <w:rsid w:val="00AF65FD"/>
    <w:rsid w:val="00B01873"/>
    <w:rsid w:val="00B074AB"/>
    <w:rsid w:val="00B07717"/>
    <w:rsid w:val="00B07800"/>
    <w:rsid w:val="00B17253"/>
    <w:rsid w:val="00B22AE9"/>
    <w:rsid w:val="00B24CC1"/>
    <w:rsid w:val="00B2583D"/>
    <w:rsid w:val="00B25BCD"/>
    <w:rsid w:val="00B31A41"/>
    <w:rsid w:val="00B40199"/>
    <w:rsid w:val="00B502FF"/>
    <w:rsid w:val="00B50D67"/>
    <w:rsid w:val="00B528D3"/>
    <w:rsid w:val="00B56CEC"/>
    <w:rsid w:val="00B643DF"/>
    <w:rsid w:val="00B65300"/>
    <w:rsid w:val="00B660CD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4FB9"/>
    <w:rsid w:val="00BA5754"/>
    <w:rsid w:val="00BA67FD"/>
    <w:rsid w:val="00BA7C48"/>
    <w:rsid w:val="00BB7AB8"/>
    <w:rsid w:val="00BC251F"/>
    <w:rsid w:val="00BC27F6"/>
    <w:rsid w:val="00BC2833"/>
    <w:rsid w:val="00BC39F4"/>
    <w:rsid w:val="00BC4257"/>
    <w:rsid w:val="00BC4CC8"/>
    <w:rsid w:val="00BD1587"/>
    <w:rsid w:val="00BD2570"/>
    <w:rsid w:val="00BD3CFE"/>
    <w:rsid w:val="00BD6A20"/>
    <w:rsid w:val="00BD7EE1"/>
    <w:rsid w:val="00BE2103"/>
    <w:rsid w:val="00BE5568"/>
    <w:rsid w:val="00BE5764"/>
    <w:rsid w:val="00BE57F6"/>
    <w:rsid w:val="00BF1358"/>
    <w:rsid w:val="00BF1E7F"/>
    <w:rsid w:val="00C0106D"/>
    <w:rsid w:val="00C11200"/>
    <w:rsid w:val="00C133BE"/>
    <w:rsid w:val="00C1757A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57A65"/>
    <w:rsid w:val="00C61CA2"/>
    <w:rsid w:val="00C63F5F"/>
    <w:rsid w:val="00C65492"/>
    <w:rsid w:val="00C716E5"/>
    <w:rsid w:val="00C769E7"/>
    <w:rsid w:val="00C773D9"/>
    <w:rsid w:val="00C80307"/>
    <w:rsid w:val="00C80ACE"/>
    <w:rsid w:val="00C81162"/>
    <w:rsid w:val="00C82918"/>
    <w:rsid w:val="00C83258"/>
    <w:rsid w:val="00C83666"/>
    <w:rsid w:val="00C870B5"/>
    <w:rsid w:val="00C907DF"/>
    <w:rsid w:val="00C91630"/>
    <w:rsid w:val="00C92940"/>
    <w:rsid w:val="00C9558A"/>
    <w:rsid w:val="00C966EB"/>
    <w:rsid w:val="00CA04B1"/>
    <w:rsid w:val="00CA2267"/>
    <w:rsid w:val="00CA2DFC"/>
    <w:rsid w:val="00CA4EC9"/>
    <w:rsid w:val="00CB03D4"/>
    <w:rsid w:val="00CB0501"/>
    <w:rsid w:val="00CB0617"/>
    <w:rsid w:val="00CB08B6"/>
    <w:rsid w:val="00CB137B"/>
    <w:rsid w:val="00CB5A36"/>
    <w:rsid w:val="00CB610E"/>
    <w:rsid w:val="00CB7460"/>
    <w:rsid w:val="00CB7BE6"/>
    <w:rsid w:val="00CC30FB"/>
    <w:rsid w:val="00CC35EF"/>
    <w:rsid w:val="00CC43E7"/>
    <w:rsid w:val="00CC5048"/>
    <w:rsid w:val="00CC6246"/>
    <w:rsid w:val="00CE5E46"/>
    <w:rsid w:val="00CF1414"/>
    <w:rsid w:val="00CF2714"/>
    <w:rsid w:val="00CF49CC"/>
    <w:rsid w:val="00CF4B94"/>
    <w:rsid w:val="00D0451D"/>
    <w:rsid w:val="00D04F0B"/>
    <w:rsid w:val="00D1463A"/>
    <w:rsid w:val="00D1530F"/>
    <w:rsid w:val="00D20DAD"/>
    <w:rsid w:val="00D21C8C"/>
    <w:rsid w:val="00D22455"/>
    <w:rsid w:val="00D2329D"/>
    <w:rsid w:val="00D24632"/>
    <w:rsid w:val="00D2466F"/>
    <w:rsid w:val="00D252C9"/>
    <w:rsid w:val="00D302DD"/>
    <w:rsid w:val="00D32DDF"/>
    <w:rsid w:val="00D3700C"/>
    <w:rsid w:val="00D37B49"/>
    <w:rsid w:val="00D412A9"/>
    <w:rsid w:val="00D42FB9"/>
    <w:rsid w:val="00D43242"/>
    <w:rsid w:val="00D471FD"/>
    <w:rsid w:val="00D54461"/>
    <w:rsid w:val="00D55C73"/>
    <w:rsid w:val="00D576F8"/>
    <w:rsid w:val="00D638E0"/>
    <w:rsid w:val="00D653B1"/>
    <w:rsid w:val="00D656B2"/>
    <w:rsid w:val="00D6577C"/>
    <w:rsid w:val="00D6635B"/>
    <w:rsid w:val="00D70B4C"/>
    <w:rsid w:val="00D74AE1"/>
    <w:rsid w:val="00D75D42"/>
    <w:rsid w:val="00D77909"/>
    <w:rsid w:val="00D80B20"/>
    <w:rsid w:val="00D865A8"/>
    <w:rsid w:val="00D9012A"/>
    <w:rsid w:val="00D90E8D"/>
    <w:rsid w:val="00D91D6C"/>
    <w:rsid w:val="00D92C2D"/>
    <w:rsid w:val="00D92CD6"/>
    <w:rsid w:val="00D9361E"/>
    <w:rsid w:val="00D94393"/>
    <w:rsid w:val="00D94F38"/>
    <w:rsid w:val="00DA17CD"/>
    <w:rsid w:val="00DB0A9F"/>
    <w:rsid w:val="00DB25B3"/>
    <w:rsid w:val="00DB2CA8"/>
    <w:rsid w:val="00DC1437"/>
    <w:rsid w:val="00DC6AE6"/>
    <w:rsid w:val="00DC7360"/>
    <w:rsid w:val="00DD60F2"/>
    <w:rsid w:val="00DD6C30"/>
    <w:rsid w:val="00DD727D"/>
    <w:rsid w:val="00DE0893"/>
    <w:rsid w:val="00DE1257"/>
    <w:rsid w:val="00DE2814"/>
    <w:rsid w:val="00DE6796"/>
    <w:rsid w:val="00DF41B2"/>
    <w:rsid w:val="00DF6523"/>
    <w:rsid w:val="00DF6865"/>
    <w:rsid w:val="00E01166"/>
    <w:rsid w:val="00E01272"/>
    <w:rsid w:val="00E014DB"/>
    <w:rsid w:val="00E0231C"/>
    <w:rsid w:val="00E02B34"/>
    <w:rsid w:val="00E03067"/>
    <w:rsid w:val="00E0360F"/>
    <w:rsid w:val="00E03642"/>
    <w:rsid w:val="00E03846"/>
    <w:rsid w:val="00E1138E"/>
    <w:rsid w:val="00E16EB4"/>
    <w:rsid w:val="00E20A7D"/>
    <w:rsid w:val="00E20AF6"/>
    <w:rsid w:val="00E21A27"/>
    <w:rsid w:val="00E27A2F"/>
    <w:rsid w:val="00E348AD"/>
    <w:rsid w:val="00E3798E"/>
    <w:rsid w:val="00E4153D"/>
    <w:rsid w:val="00E42A94"/>
    <w:rsid w:val="00E44A85"/>
    <w:rsid w:val="00E458BF"/>
    <w:rsid w:val="00E474DE"/>
    <w:rsid w:val="00E502A3"/>
    <w:rsid w:val="00E5394B"/>
    <w:rsid w:val="00E54BFB"/>
    <w:rsid w:val="00E54CD7"/>
    <w:rsid w:val="00E56B35"/>
    <w:rsid w:val="00E60514"/>
    <w:rsid w:val="00E665BC"/>
    <w:rsid w:val="00E706E7"/>
    <w:rsid w:val="00E7266C"/>
    <w:rsid w:val="00E762A7"/>
    <w:rsid w:val="00E7786B"/>
    <w:rsid w:val="00E818AD"/>
    <w:rsid w:val="00E84229"/>
    <w:rsid w:val="00E84965"/>
    <w:rsid w:val="00E85665"/>
    <w:rsid w:val="00E90E4E"/>
    <w:rsid w:val="00E913BE"/>
    <w:rsid w:val="00E9391E"/>
    <w:rsid w:val="00EA1052"/>
    <w:rsid w:val="00EA218F"/>
    <w:rsid w:val="00EA29C9"/>
    <w:rsid w:val="00EA2EEC"/>
    <w:rsid w:val="00EA4F29"/>
    <w:rsid w:val="00EA5B27"/>
    <w:rsid w:val="00EA5F83"/>
    <w:rsid w:val="00EA6F9D"/>
    <w:rsid w:val="00EB15E3"/>
    <w:rsid w:val="00EB1F92"/>
    <w:rsid w:val="00EB6F3C"/>
    <w:rsid w:val="00EC1E2C"/>
    <w:rsid w:val="00EC2B9A"/>
    <w:rsid w:val="00EC3723"/>
    <w:rsid w:val="00EC568A"/>
    <w:rsid w:val="00EC6FCC"/>
    <w:rsid w:val="00EC7C87"/>
    <w:rsid w:val="00ED030E"/>
    <w:rsid w:val="00ED2A8D"/>
    <w:rsid w:val="00ED4450"/>
    <w:rsid w:val="00ED7FB2"/>
    <w:rsid w:val="00EE47E9"/>
    <w:rsid w:val="00EE54CB"/>
    <w:rsid w:val="00EE6424"/>
    <w:rsid w:val="00EF0577"/>
    <w:rsid w:val="00EF1C54"/>
    <w:rsid w:val="00EF404B"/>
    <w:rsid w:val="00EF4FE0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4537C"/>
    <w:rsid w:val="00F527AC"/>
    <w:rsid w:val="00F5503F"/>
    <w:rsid w:val="00F56AC6"/>
    <w:rsid w:val="00F61D83"/>
    <w:rsid w:val="00F65DD1"/>
    <w:rsid w:val="00F707B3"/>
    <w:rsid w:val="00F71135"/>
    <w:rsid w:val="00F74023"/>
    <w:rsid w:val="00F74309"/>
    <w:rsid w:val="00F82C35"/>
    <w:rsid w:val="00F83E01"/>
    <w:rsid w:val="00F857D4"/>
    <w:rsid w:val="00F8616A"/>
    <w:rsid w:val="00F90461"/>
    <w:rsid w:val="00FA370D"/>
    <w:rsid w:val="00FA5291"/>
    <w:rsid w:val="00FA6126"/>
    <w:rsid w:val="00FA66F1"/>
    <w:rsid w:val="00FC06AF"/>
    <w:rsid w:val="00FC378B"/>
    <w:rsid w:val="00FC3977"/>
    <w:rsid w:val="00FC586B"/>
    <w:rsid w:val="00FD2566"/>
    <w:rsid w:val="00FD2F16"/>
    <w:rsid w:val="00FD4E76"/>
    <w:rsid w:val="00FD5976"/>
    <w:rsid w:val="00FD5F30"/>
    <w:rsid w:val="00FD6065"/>
    <w:rsid w:val="00FE13A1"/>
    <w:rsid w:val="00FE1D34"/>
    <w:rsid w:val="00FE244F"/>
    <w:rsid w:val="00FE2A6F"/>
    <w:rsid w:val="00FE2B34"/>
    <w:rsid w:val="00FE51E2"/>
    <w:rsid w:val="00FF3D88"/>
    <w:rsid w:val="00FF6538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641A1D"/>
  <w15:docId w15:val="{0C3629E8-01A2-4AA6-B9E8-861D47EB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2C7A34"/>
    <w:pPr>
      <w:keepNext/>
      <w:numPr>
        <w:ilvl w:val="1"/>
        <w:numId w:val="15"/>
      </w:numPr>
      <w:tabs>
        <w:tab w:val="clear" w:pos="0"/>
        <w:tab w:val="num" w:pos="576"/>
        <w:tab w:val="left" w:pos="851"/>
      </w:tabs>
      <w:spacing w:before="240" w:after="240" w:line="240" w:lineRule="auto"/>
      <w:ind w:left="576" w:hanging="576"/>
      <w:jc w:val="both"/>
      <w:outlineLvl w:val="1"/>
    </w:pPr>
    <w:rPr>
      <w:rFonts w:asciiTheme="majorHAnsi" w:eastAsia="Times New Roman" w:hAnsiTheme="majorHAnsi" w:cstheme="majorBidi"/>
      <w:b/>
      <w:bCs/>
      <w:color w:val="407EC9"/>
      <w:sz w:val="24"/>
      <w:szCs w:val="24"/>
      <w:lang w:val="en-IE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2C7A34"/>
    <w:rPr>
      <w:rFonts w:asciiTheme="majorHAnsi" w:eastAsia="Times New Roman" w:hAnsiTheme="majorHAnsi" w:cstheme="majorBidi"/>
      <w:b/>
      <w:bCs/>
      <w:color w:val="407EC9"/>
      <w:sz w:val="24"/>
      <w:szCs w:val="24"/>
      <w:lang w:val="en-IE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qFormat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  <w:style w:type="paragraph" w:styleId="Revision">
    <w:name w:val="Revision"/>
    <w:hidden/>
    <w:uiPriority w:val="99"/>
    <w:semiHidden/>
    <w:rsid w:val="000D47AF"/>
    <w:pPr>
      <w:spacing w:after="0" w:line="240" w:lineRule="auto"/>
    </w:pPr>
    <w:rPr>
      <w:sz w:val="18"/>
      <w:lang w:val="en-GB"/>
    </w:rPr>
  </w:style>
  <w:style w:type="paragraph" w:customStyle="1" w:styleId="enumlev1">
    <w:name w:val="enumlev1"/>
    <w:basedOn w:val="Normal"/>
    <w:rsid w:val="000D154A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1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C4B4A-F327-44E7-9D2E-9627745E3F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300927-61BB-4723-B9DC-A686F0DAF4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27E0B-C240-4C92-9392-AC36E5F92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BC6FB6-856B-4F52-858D-6F4547077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120</TotalTime>
  <Pages>10</Pages>
  <Words>2046</Words>
  <Characters>11665</Characters>
  <Application>Microsoft Office Word</Application>
  <DocSecurity>0</DocSecurity>
  <Lines>97</Lines>
  <Paragraphs>27</Paragraphs>
  <ScaleCrop>false</ScaleCrop>
  <HeadingPairs>
    <vt:vector size="8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IALA Guideline 1115</vt:lpstr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13684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Kevin Gregory</cp:lastModifiedBy>
  <cp:revision>6</cp:revision>
  <dcterms:created xsi:type="dcterms:W3CDTF">2020-04-16T08:07:00Z</dcterms:created>
  <dcterms:modified xsi:type="dcterms:W3CDTF">2020-08-28T16:42:00Z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17710300</vt:r8>
  </property>
</Properties>
</file>